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09 • DEVOTIONAL TRADITIONS &amp; MATHAS</w:t>
              <w:br/>
            </w:r>
            <w:r>
              <w:rPr>
                <w:rFonts w:ascii="Georgia" w:hAnsi="Georgia"/>
                <w:b/>
                <w:color w:val="FFFFFF"/>
                <w:sz w:val="36"/>
              </w:rPr>
              <w:t>Varkari, Gaudiya, &amp; Pan-Indian Devotional Traditions at Puri</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Pan-Indian Pilgrimage Confluence at Puri</w:t>
      </w:r>
    </w:p>
    <w:p>
      <w:pPr>
        <w:spacing w:after="120" w:line="276" w:lineRule="auto"/>
      </w:pPr>
      <w:r>
        <w:rPr>
          <w:rFonts w:ascii="Calibri" w:hAnsi="Calibri"/>
          <w:i w:val="0"/>
          <w:color w:val="212529"/>
          <w:sz w:val="22"/>
        </w:rPr>
        <w:t>Puri served as a primary nexus for the pan-Indian Bhakti movement between the 11th and 18th centuries. Saints, philosophers, and spiritual reformers from every major linguistic and sectarian territory traveled to Nilachala to encounter Lord Jagannath:</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160"/>
            <w:shd w:fill="8B1E0F"/>
            <w:tcMar>
              <w:top w:w="120" w:type="dxa"/>
              <w:bottom w:w="120" w:type="dxa"/>
              <w:left w:w="140" w:type="dxa"/>
              <w:right w:w="140" w:type="dxa"/>
            </w:tcMar>
          </w:tcPr>
          <w:p>
            <w:pPr>
              <w:jc w:val="left"/>
            </w:pPr>
            <w:r>
              <w:rPr>
                <w:rFonts w:ascii="Calibri" w:hAnsi="Calibri"/>
                <w:b/>
                <w:color w:val="FFFFFF"/>
                <w:sz w:val="20"/>
              </w:rPr>
              <w:t>Spiritual Master / Movement</w:t>
            </w:r>
          </w:p>
        </w:tc>
        <w:tc>
          <w:tcPr>
            <w:tcW w:type="dxa" w:w="2592"/>
            <w:shd w:fill="8B1E0F"/>
            <w:tcMar>
              <w:top w:w="120" w:type="dxa"/>
              <w:bottom w:w="120" w:type="dxa"/>
              <w:left w:w="140" w:type="dxa"/>
              <w:right w:w="140" w:type="dxa"/>
            </w:tcMar>
          </w:tcPr>
          <w:p>
            <w:pPr>
              <w:jc w:val="left"/>
            </w:pPr>
            <w:r>
              <w:rPr>
                <w:rFonts w:ascii="Calibri" w:hAnsi="Calibri"/>
                <w:b/>
                <w:color w:val="FFFFFF"/>
                <w:sz w:val="20"/>
              </w:rPr>
              <w:t>Origin / Sampradaya</w:t>
            </w:r>
          </w:p>
        </w:tc>
        <w:tc>
          <w:tcPr>
            <w:tcW w:type="dxa" w:w="4608"/>
            <w:shd w:fill="8B1E0F"/>
            <w:tcMar>
              <w:top w:w="120" w:type="dxa"/>
              <w:bottom w:w="120" w:type="dxa"/>
              <w:left w:w="140" w:type="dxa"/>
              <w:right w:w="140" w:type="dxa"/>
            </w:tcMar>
          </w:tcPr>
          <w:p>
            <w:pPr>
              <w:jc w:val="left"/>
            </w:pPr>
            <w:r>
              <w:rPr>
                <w:rFonts w:ascii="Calibri" w:hAnsi="Calibri"/>
                <w:b/>
                <w:color w:val="FFFFFF"/>
                <w:sz w:val="20"/>
              </w:rPr>
              <w:t>Historical Presence &amp; Structural Legacy in Puri</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Adi Shankaracharya (8th-9th c.)</w:t>
            </w:r>
          </w:p>
        </w:tc>
        <w:tc>
          <w:tcPr>
            <w:tcW w:type="dxa" w:w="2592"/>
            <w:shd w:fill="FFFFFF"/>
            <w:tcMar>
              <w:top w:w="100" w:type="dxa"/>
              <w:bottom w:w="100" w:type="dxa"/>
              <w:left w:w="140" w:type="dxa"/>
              <w:right w:w="140" w:type="dxa"/>
            </w:tcMar>
          </w:tcPr>
          <w:p>
            <w:pPr>
              <w:jc w:val="left"/>
            </w:pPr>
            <w:r>
              <w:rPr>
                <w:rFonts w:ascii="Calibri" w:hAnsi="Calibri"/>
                <w:color w:val="212529"/>
                <w:sz w:val="20"/>
              </w:rPr>
              <w:t>Advaita Vedanta (Kerala)</w:t>
            </w:r>
          </w:p>
        </w:tc>
        <w:tc>
          <w:tcPr>
            <w:tcW w:type="dxa" w:w="4608"/>
            <w:shd w:fill="FFFFFF"/>
            <w:tcMar>
              <w:top w:w="100" w:type="dxa"/>
              <w:bottom w:w="100" w:type="dxa"/>
              <w:left w:w="140" w:type="dxa"/>
              <w:right w:w="140" w:type="dxa"/>
            </w:tcMar>
          </w:tcPr>
          <w:p>
            <w:pPr>
              <w:jc w:val="left"/>
            </w:pPr>
            <w:r>
              <w:rPr>
                <w:rFonts w:ascii="Calibri" w:hAnsi="Calibri"/>
                <w:color w:val="212529"/>
                <w:sz w:val="20"/>
              </w:rPr>
              <w:t>Founded Govardhan Math, established rigorous Vedic scholarship and monastic monastic lineages.</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Ramanujacharya (12th c.)</w:t>
            </w:r>
          </w:p>
        </w:tc>
        <w:tc>
          <w:tcPr>
            <w:tcW w:type="dxa" w:w="2592"/>
            <w:shd w:fill="F9F6F0"/>
            <w:tcMar>
              <w:top w:w="100" w:type="dxa"/>
              <w:bottom w:w="100" w:type="dxa"/>
              <w:left w:w="140" w:type="dxa"/>
              <w:right w:w="140" w:type="dxa"/>
            </w:tcMar>
          </w:tcPr>
          <w:p>
            <w:pPr>
              <w:jc w:val="left"/>
            </w:pPr>
            <w:r>
              <w:rPr>
                <w:rFonts w:ascii="Calibri" w:hAnsi="Calibri"/>
                <w:color w:val="212529"/>
                <w:sz w:val="20"/>
              </w:rPr>
              <w:t>Vishishtadvaita (Tamil Nadu)</w:t>
            </w:r>
          </w:p>
        </w:tc>
        <w:tc>
          <w:tcPr>
            <w:tcW w:type="dxa" w:w="4608"/>
            <w:shd w:fill="F9F6F0"/>
            <w:tcMar>
              <w:top w:w="100" w:type="dxa"/>
              <w:bottom w:w="100" w:type="dxa"/>
              <w:left w:w="140" w:type="dxa"/>
              <w:right w:w="140" w:type="dxa"/>
            </w:tcMar>
          </w:tcPr>
          <w:p>
            <w:pPr>
              <w:jc w:val="left"/>
            </w:pPr>
            <w:r>
              <w:rPr>
                <w:rFonts w:ascii="Calibri" w:hAnsi="Calibri"/>
                <w:color w:val="212529"/>
                <w:sz w:val="20"/>
              </w:rPr>
              <w:t>Visited Puri c. 1122 CE; founded Emar Matha and Vijayanagar-associated mathas; introduced Pancharatra puja reforms.</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Nimbarkacharya &amp; Madhvacharya</w:t>
            </w:r>
          </w:p>
        </w:tc>
        <w:tc>
          <w:tcPr>
            <w:tcW w:type="dxa" w:w="2592"/>
            <w:shd w:fill="FFFFFF"/>
            <w:tcMar>
              <w:top w:w="100" w:type="dxa"/>
              <w:bottom w:w="100" w:type="dxa"/>
              <w:left w:w="140" w:type="dxa"/>
              <w:right w:w="140" w:type="dxa"/>
            </w:tcMar>
          </w:tcPr>
          <w:p>
            <w:pPr>
              <w:jc w:val="left"/>
            </w:pPr>
            <w:r>
              <w:rPr>
                <w:rFonts w:ascii="Calibri" w:hAnsi="Calibri"/>
                <w:color w:val="212529"/>
                <w:sz w:val="20"/>
              </w:rPr>
              <w:t>Dvaitadvaita &amp; Dvaita</w:t>
            </w:r>
          </w:p>
        </w:tc>
        <w:tc>
          <w:tcPr>
            <w:tcW w:type="dxa" w:w="4608"/>
            <w:shd w:fill="FFFFFF"/>
            <w:tcMar>
              <w:top w:w="100" w:type="dxa"/>
              <w:bottom w:w="100" w:type="dxa"/>
              <w:left w:w="140" w:type="dxa"/>
              <w:right w:w="140" w:type="dxa"/>
            </w:tcMar>
          </w:tcPr>
          <w:p>
            <w:pPr>
              <w:jc w:val="left"/>
            </w:pPr>
            <w:r>
              <w:rPr>
                <w:rFonts w:ascii="Calibri" w:hAnsi="Calibri"/>
                <w:color w:val="212529"/>
                <w:sz w:val="20"/>
              </w:rPr>
              <w:t>Established Radhaballabha Matha and Madhva monastic houses along Grand Road.</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Chaitanya Mahaprabhu (1510-1533)</w:t>
            </w:r>
          </w:p>
        </w:tc>
        <w:tc>
          <w:tcPr>
            <w:tcW w:type="dxa" w:w="2592"/>
            <w:shd w:fill="F9F6F0"/>
            <w:tcMar>
              <w:top w:w="100" w:type="dxa"/>
              <w:bottom w:w="100" w:type="dxa"/>
              <w:left w:w="140" w:type="dxa"/>
              <w:right w:w="140" w:type="dxa"/>
            </w:tcMar>
          </w:tcPr>
          <w:p>
            <w:pPr>
              <w:jc w:val="left"/>
            </w:pPr>
            <w:r>
              <w:rPr>
                <w:rFonts w:ascii="Calibri" w:hAnsi="Calibri"/>
                <w:color w:val="212529"/>
                <w:sz w:val="20"/>
              </w:rPr>
              <w:t>Gaudiya Vaishnavism (Bengal)</w:t>
            </w:r>
          </w:p>
        </w:tc>
        <w:tc>
          <w:tcPr>
            <w:tcW w:type="dxa" w:w="4608"/>
            <w:shd w:fill="F9F6F0"/>
            <w:tcMar>
              <w:top w:w="100" w:type="dxa"/>
              <w:bottom w:w="100" w:type="dxa"/>
              <w:left w:w="140" w:type="dxa"/>
              <w:right w:w="140" w:type="dxa"/>
            </w:tcMar>
          </w:tcPr>
          <w:p>
            <w:pPr>
              <w:jc w:val="left"/>
            </w:pPr>
            <w:r>
              <w:rPr>
                <w:rFonts w:ascii="Calibri" w:hAnsi="Calibri"/>
                <w:color w:val="212529"/>
                <w:sz w:val="20"/>
              </w:rPr>
              <w:t>Lived 24 years at Gambhira; catalyzed widespread Harinama Sankirtana across Eastern India.</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Guru Nanak Dev (1506 CE)</w:t>
            </w:r>
          </w:p>
        </w:tc>
        <w:tc>
          <w:tcPr>
            <w:tcW w:type="dxa" w:w="2592"/>
            <w:shd w:fill="FFFFFF"/>
            <w:tcMar>
              <w:top w:w="100" w:type="dxa"/>
              <w:bottom w:w="100" w:type="dxa"/>
              <w:left w:w="140" w:type="dxa"/>
              <w:right w:w="140" w:type="dxa"/>
            </w:tcMar>
          </w:tcPr>
          <w:p>
            <w:pPr>
              <w:jc w:val="left"/>
            </w:pPr>
            <w:r>
              <w:rPr>
                <w:rFonts w:ascii="Calibri" w:hAnsi="Calibri"/>
                <w:color w:val="212529"/>
                <w:sz w:val="20"/>
              </w:rPr>
              <w:t>Sikhism (Punjab)</w:t>
            </w:r>
          </w:p>
        </w:tc>
        <w:tc>
          <w:tcPr>
            <w:tcW w:type="dxa" w:w="4608"/>
            <w:shd w:fill="FFFFFF"/>
            <w:tcMar>
              <w:top w:w="100" w:type="dxa"/>
              <w:bottom w:w="100" w:type="dxa"/>
              <w:left w:w="140" w:type="dxa"/>
              <w:right w:w="140" w:type="dxa"/>
            </w:tcMar>
          </w:tcPr>
          <w:p>
            <w:pPr>
              <w:jc w:val="left"/>
            </w:pPr>
            <w:r>
              <w:rPr>
                <w:rFonts w:ascii="Calibri" w:hAnsi="Calibri"/>
                <w:color w:val="212529"/>
                <w:sz w:val="20"/>
              </w:rPr>
              <w:t>Composed the cosmic arati 'Gagan Mein Thaal' at Puri beach; Bauli Matha commemorates his visit.</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Sant Kabir &amp; Sant Namdev</w:t>
            </w:r>
          </w:p>
        </w:tc>
        <w:tc>
          <w:tcPr>
            <w:tcW w:type="dxa" w:w="2592"/>
            <w:shd w:fill="F9F6F0"/>
            <w:tcMar>
              <w:top w:w="100" w:type="dxa"/>
              <w:bottom w:w="100" w:type="dxa"/>
              <w:left w:w="140" w:type="dxa"/>
              <w:right w:w="140" w:type="dxa"/>
            </w:tcMar>
          </w:tcPr>
          <w:p>
            <w:pPr>
              <w:jc w:val="left"/>
            </w:pPr>
            <w:r>
              <w:rPr>
                <w:rFonts w:ascii="Calibri" w:hAnsi="Calibri"/>
                <w:color w:val="212529"/>
                <w:sz w:val="20"/>
              </w:rPr>
              <w:t>Nirguni Bhakti &amp; Varkari Sampradaya</w:t>
            </w:r>
          </w:p>
        </w:tc>
        <w:tc>
          <w:tcPr>
            <w:tcW w:type="dxa" w:w="4608"/>
            <w:shd w:fill="F9F6F0"/>
            <w:tcMar>
              <w:top w:w="100" w:type="dxa"/>
              <w:bottom w:w="100" w:type="dxa"/>
              <w:left w:w="140" w:type="dxa"/>
              <w:right w:w="140" w:type="dxa"/>
            </w:tcMar>
          </w:tcPr>
          <w:p>
            <w:pPr>
              <w:jc w:val="left"/>
            </w:pPr>
            <w:r>
              <w:rPr>
                <w:rFonts w:ascii="Calibri" w:hAnsi="Calibri"/>
                <w:color w:val="212529"/>
                <w:sz w:val="20"/>
              </w:rPr>
              <w:t>Kabir Chaura Matha preserves the syncretic legacy; Varkari pilgrims visit Puri during Ashadha Yatra.</w:t>
            </w:r>
          </w:p>
        </w:tc>
      </w:tr>
    </w:tbl>
    <w:p>
      <w:pPr>
        <w:spacing w:after="120"/>
      </w:pPr>
    </w:p>
    <w:p>
      <w:pPr>
        <w:keepNext/>
        <w:spacing w:before="320" w:after="120"/>
      </w:pPr>
      <w:r>
        <w:rPr>
          <w:rFonts w:ascii="Georgia" w:hAnsi="Georgia"/>
          <w:b/>
          <w:color w:val="8B1E0F"/>
          <w:sz w:val="30"/>
        </w:rPr>
        <w:t>2. The Bhakta Salabega Tradition: Transcending Social Barriers</w:t>
      </w:r>
    </w:p>
    <w:p>
      <w:pPr>
        <w:spacing w:after="120" w:line="276" w:lineRule="auto"/>
      </w:pPr>
      <w:r>
        <w:rPr>
          <w:rFonts w:ascii="Calibri" w:hAnsi="Calibri"/>
          <w:i w:val="0"/>
          <w:color w:val="212529"/>
          <w:sz w:val="22"/>
        </w:rPr>
        <w:t>One of the most celebrated devotional figures of Puri is Salabega (early 17th century), the son of a Mughal military commander (Lalbeg) and a Brahmin widow. Denied entry to the temple due to his Islamic birth, Salabega composed some of the most poignant Jananas and Bhajans in the Odia language (e.g., 'Ahe Nila Saila'). Devotional tradition records that when Salabega was delayed returning from Vrindavan during Rath Yatra, the grand chariot Nandighosh came to a complete halt at Balagandi until the devotee arrived to offer his heartfelt prayers. His memorial samadhi stands along the Grand Road today.</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PUR-S002</w:t>
            </w:r>
          </w:p>
        </w:tc>
        <w:tc>
          <w:tcPr>
            <w:tcW w:type="dxa" w:w="2016"/>
            <w:shd w:fill="FFFFFF"/>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FFFFF"/>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PUR-S006</w:t>
            </w:r>
          </w:p>
        </w:tc>
        <w:tc>
          <w:tcPr>
            <w:tcW w:type="dxa" w:w="2016"/>
            <w:shd w:fill="F9F6F0"/>
            <w:tcMar>
              <w:top w:w="100" w:type="dxa"/>
              <w:bottom w:w="100" w:type="dxa"/>
              <w:left w:w="140" w:type="dxa"/>
              <w:right w:w="140" w:type="dxa"/>
            </w:tcMar>
          </w:tcPr>
          <w:p>
            <w:pPr>
              <w:jc w:val="left"/>
            </w:pPr>
            <w:r>
              <w:rPr>
                <w:rFonts w:ascii="Calibri" w:hAnsi="Calibri"/>
                <w:color w:val="212529"/>
                <w:sz w:val="20"/>
              </w:rPr>
              <w:t>INTACH (Odisha State Chapter)</w:t>
            </w:r>
          </w:p>
        </w:tc>
        <w:tc>
          <w:tcPr>
            <w:tcW w:type="dxa" w:w="3024"/>
            <w:shd w:fill="F9F6F0"/>
            <w:tcMar>
              <w:top w:w="100" w:type="dxa"/>
              <w:bottom w:w="100" w:type="dxa"/>
              <w:left w:w="140" w:type="dxa"/>
              <w:right w:w="140" w:type="dxa"/>
            </w:tcMar>
          </w:tcPr>
          <w:p>
            <w:pPr>
              <w:jc w:val="left"/>
            </w:pPr>
            <w:r>
              <w:rPr>
                <w:rFonts w:ascii="Calibri" w:hAnsi="Calibri"/>
                <w:color w:val="212529"/>
                <w:sz w:val="20"/>
              </w:rPr>
              <w:t>Listing and Documentation of Built Heritage &amp; Traditional Mathas of Puri (Shrikshetra)</w:t>
            </w:r>
          </w:p>
        </w:tc>
        <w:tc>
          <w:tcPr>
            <w:tcW w:type="dxa" w:w="1584"/>
            <w:shd w:fill="F9F6F0"/>
            <w:tcMar>
              <w:top w:w="100" w:type="dxa"/>
              <w:bottom w:w="100" w:type="dxa"/>
              <w:left w:w="140" w:type="dxa"/>
              <w:right w:w="140" w:type="dxa"/>
            </w:tcMar>
          </w:tcPr>
          <w:p>
            <w:pPr>
              <w:jc w:val="left"/>
            </w:pPr>
            <w:r>
              <w:rPr>
                <w:rFonts w:ascii="Calibri" w:hAnsi="Calibri"/>
                <w:color w:val="212529"/>
                <w:sz w:val="20"/>
              </w:rPr>
              <w:t>Heritage Monograph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https://intach.org</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PUR-S008</w:t>
            </w:r>
          </w:p>
        </w:tc>
        <w:tc>
          <w:tcPr>
            <w:tcW w:type="dxa" w:w="2016"/>
            <w:shd w:fill="FFFFFF"/>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FFFFF"/>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FFFFF"/>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PUR-S018</w:t>
            </w:r>
          </w:p>
        </w:tc>
        <w:tc>
          <w:tcPr>
            <w:tcW w:type="dxa" w:w="2016"/>
            <w:shd w:fill="F9F6F0"/>
            <w:tcMar>
              <w:top w:w="100" w:type="dxa"/>
              <w:bottom w:w="100" w:type="dxa"/>
              <w:left w:w="140" w:type="dxa"/>
              <w:right w:w="140" w:type="dxa"/>
            </w:tcMar>
          </w:tcPr>
          <w:p>
            <w:pPr>
              <w:jc w:val="left"/>
            </w:pPr>
            <w:r>
              <w:rPr>
                <w:rFonts w:ascii="Calibri" w:hAnsi="Calibri"/>
                <w:color w:val="212529"/>
                <w:sz w:val="20"/>
              </w:rPr>
              <w:t>Gaudiya Mission / Bhaktivedanta Archives</w:t>
            </w:r>
          </w:p>
        </w:tc>
        <w:tc>
          <w:tcPr>
            <w:tcW w:type="dxa" w:w="3024"/>
            <w:shd w:fill="F9F6F0"/>
            <w:tcMar>
              <w:top w:w="100" w:type="dxa"/>
              <w:bottom w:w="100" w:type="dxa"/>
              <w:left w:w="140" w:type="dxa"/>
              <w:right w:w="140" w:type="dxa"/>
            </w:tcMar>
          </w:tcPr>
          <w:p>
            <w:pPr>
              <w:jc w:val="left"/>
            </w:pPr>
            <w:r>
              <w:rPr>
                <w:rFonts w:ascii="Calibri" w:hAnsi="Calibri"/>
                <w:color w:val="212529"/>
                <w:sz w:val="20"/>
              </w:rPr>
              <w:t>Sri Chaitanya Charitamrita (Antya-lila): Chaitanya in Nilachala-Puri</w:t>
            </w:r>
          </w:p>
        </w:tc>
        <w:tc>
          <w:tcPr>
            <w:tcW w:type="dxa" w:w="1584"/>
            <w:shd w:fill="F9F6F0"/>
            <w:tcMar>
              <w:top w:w="100" w:type="dxa"/>
              <w:bottom w:w="100" w:type="dxa"/>
              <w:left w:w="140" w:type="dxa"/>
              <w:right w:w="140" w:type="dxa"/>
            </w:tcMar>
          </w:tcPr>
          <w:p>
            <w:pPr>
              <w:jc w:val="left"/>
            </w:pPr>
            <w:r>
              <w:rPr>
                <w:rFonts w:ascii="Calibri" w:hAnsi="Calibri"/>
                <w:color w:val="212529"/>
                <w:sz w:val="20"/>
              </w:rPr>
              <w:t>Historical-Devotional Text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https://gaudiyamission.org</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DEVOTIONAL TRADITIONS &amp; MATHAS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