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11 • TEXTILES &amp; TRADITIONAL ATTIRE</w:t>
              <w:br/>
            </w:r>
            <w:r>
              <w:rPr>
                <w:rFonts w:ascii="Georgia" w:hAnsi="Georgia"/>
                <w:b/>
                <w:color w:val="FFFFFF"/>
                <w:sz w:val="36"/>
              </w:rPr>
              <w:t>Traditional Clothing, Textiles, &amp; Temple Vestments of Puri</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Sacred Textiles &amp; Temple Vestments (Khandua Pata)</w:t>
      </w:r>
    </w:p>
    <w:p>
      <w:pPr>
        <w:spacing w:after="120" w:line="276" w:lineRule="auto"/>
      </w:pPr>
      <w:r>
        <w:rPr>
          <w:rFonts w:ascii="Calibri" w:hAnsi="Calibri"/>
          <w:i w:val="0"/>
          <w:color w:val="212529"/>
          <w:sz w:val="22"/>
        </w:rPr>
        <w:t>Textiles in Puri are intrinsically tied to the daily dressing rituals (Beshas) of Lord Jagannath. The most revered textile is the sacred Khandua Pata (also known as Gitagovinda Pata), woven traditionally by the Weavers of Nuapatna (Tigiria) for the temple. Verses from Jayadeva's 12th-century Sanskrit lyric poem Gita Govinda are woven directly into the red and yellow mulberry/tussar silk fabric using ikat tie-dye techniques. Lord Jagannath is draped in Khandua Pata during the nightly Badasinghara Besha before retiring to sleep.</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304"/>
            <w:shd w:fill="8B1E0F"/>
            <w:tcMar>
              <w:top w:w="120" w:type="dxa"/>
              <w:bottom w:w="120" w:type="dxa"/>
              <w:left w:w="140" w:type="dxa"/>
              <w:right w:w="140" w:type="dxa"/>
            </w:tcMar>
          </w:tcPr>
          <w:p>
            <w:pPr>
              <w:jc w:val="left"/>
            </w:pPr>
            <w:r>
              <w:rPr>
                <w:rFonts w:ascii="Calibri" w:hAnsi="Calibri"/>
                <w:b/>
                <w:color w:val="FFFFFF"/>
                <w:sz w:val="20"/>
              </w:rPr>
              <w:t>Textile / Attire Form</w:t>
            </w:r>
          </w:p>
        </w:tc>
        <w:tc>
          <w:tcPr>
            <w:tcW w:type="dxa" w:w="3312"/>
            <w:shd w:fill="8B1E0F"/>
            <w:tcMar>
              <w:top w:w="120" w:type="dxa"/>
              <w:bottom w:w="120" w:type="dxa"/>
              <w:left w:w="140" w:type="dxa"/>
              <w:right w:w="140" w:type="dxa"/>
            </w:tcMar>
          </w:tcPr>
          <w:p>
            <w:pPr>
              <w:jc w:val="left"/>
            </w:pPr>
            <w:r>
              <w:rPr>
                <w:rFonts w:ascii="Calibri" w:hAnsi="Calibri"/>
                <w:b/>
                <w:color w:val="FFFFFF"/>
                <w:sz w:val="20"/>
              </w:rPr>
              <w:t>Materials &amp; Weaving Technique</w:t>
            </w:r>
          </w:p>
        </w:tc>
        <w:tc>
          <w:tcPr>
            <w:tcW w:type="dxa" w:w="3744"/>
            <w:shd w:fill="8B1E0F"/>
            <w:tcMar>
              <w:top w:w="120" w:type="dxa"/>
              <w:bottom w:w="120" w:type="dxa"/>
              <w:left w:w="140" w:type="dxa"/>
              <w:right w:w="140" w:type="dxa"/>
            </w:tcMar>
          </w:tcPr>
          <w:p>
            <w:pPr>
              <w:jc w:val="left"/>
            </w:pPr>
            <w:r>
              <w:rPr>
                <w:rFonts w:ascii="Calibri" w:hAnsi="Calibri"/>
                <w:b/>
                <w:color w:val="FFFFFF"/>
                <w:sz w:val="20"/>
              </w:rPr>
              <w:t>Cultural Context &amp; Geographic Origin</w:t>
            </w:r>
          </w:p>
        </w:tc>
      </w:tr>
      <w:tr>
        <w:tc>
          <w:tcPr>
            <w:tcW w:type="dxa" w:w="2304"/>
            <w:shd w:fill="FFFFFF"/>
            <w:tcMar>
              <w:top w:w="100" w:type="dxa"/>
              <w:bottom w:w="100" w:type="dxa"/>
              <w:left w:w="140" w:type="dxa"/>
              <w:right w:w="140" w:type="dxa"/>
            </w:tcMar>
          </w:tcPr>
          <w:p>
            <w:pPr>
              <w:jc w:val="left"/>
            </w:pPr>
            <w:r>
              <w:rPr>
                <w:rFonts w:ascii="Calibri" w:hAnsi="Calibri"/>
                <w:color w:val="212529"/>
                <w:sz w:val="20"/>
              </w:rPr>
              <w:t>Khandua Pata (ଗୀତଗୋବିନ୍ଦ ପାଟ)</w:t>
            </w:r>
          </w:p>
        </w:tc>
        <w:tc>
          <w:tcPr>
            <w:tcW w:type="dxa" w:w="3312"/>
            <w:shd w:fill="FFFFFF"/>
            <w:tcMar>
              <w:top w:w="100" w:type="dxa"/>
              <w:bottom w:w="100" w:type="dxa"/>
              <w:left w:w="140" w:type="dxa"/>
              <w:right w:w="140" w:type="dxa"/>
            </w:tcMar>
          </w:tcPr>
          <w:p>
            <w:pPr>
              <w:jc w:val="left"/>
            </w:pPr>
            <w:r>
              <w:rPr>
                <w:rFonts w:ascii="Calibri" w:hAnsi="Calibri"/>
                <w:color w:val="212529"/>
                <w:sz w:val="20"/>
              </w:rPr>
              <w:t>Pure Silk; Bandha (Ikat) tie-dye; Gitagovinda calligraphic weave</w:t>
            </w:r>
          </w:p>
        </w:tc>
        <w:tc>
          <w:tcPr>
            <w:tcW w:type="dxa" w:w="3744"/>
            <w:shd w:fill="FFFFFF"/>
            <w:tcMar>
              <w:top w:w="100" w:type="dxa"/>
              <w:bottom w:w="100" w:type="dxa"/>
              <w:left w:w="140" w:type="dxa"/>
              <w:right w:w="140" w:type="dxa"/>
            </w:tcMar>
          </w:tcPr>
          <w:p>
            <w:pPr>
              <w:jc w:val="left"/>
            </w:pPr>
            <w:r>
              <w:rPr>
                <w:rFonts w:ascii="Calibri" w:hAnsi="Calibri"/>
                <w:color w:val="212529"/>
                <w:sz w:val="20"/>
              </w:rPr>
              <w:t>Reserved for Jagannath's nightly ritual; Nuapatna-Cuttack corridor.</w:t>
            </w:r>
          </w:p>
        </w:tc>
      </w:tr>
      <w:tr>
        <w:tc>
          <w:tcPr>
            <w:tcW w:type="dxa" w:w="2304"/>
            <w:shd w:fill="F9F6F0"/>
            <w:tcMar>
              <w:top w:w="100" w:type="dxa"/>
              <w:bottom w:w="100" w:type="dxa"/>
              <w:left w:w="140" w:type="dxa"/>
              <w:right w:w="140" w:type="dxa"/>
            </w:tcMar>
          </w:tcPr>
          <w:p>
            <w:pPr>
              <w:jc w:val="left"/>
            </w:pPr>
            <w:r>
              <w:rPr>
                <w:rFonts w:ascii="Calibri" w:hAnsi="Calibri"/>
                <w:color w:val="212529"/>
                <w:sz w:val="20"/>
              </w:rPr>
              <w:t>Gamucha (ଗାମୁଛା)</w:t>
            </w:r>
          </w:p>
        </w:tc>
        <w:tc>
          <w:tcPr>
            <w:tcW w:type="dxa" w:w="3312"/>
            <w:shd w:fill="F9F6F0"/>
            <w:tcMar>
              <w:top w:w="100" w:type="dxa"/>
              <w:bottom w:w="100" w:type="dxa"/>
              <w:left w:w="140" w:type="dxa"/>
              <w:right w:w="140" w:type="dxa"/>
            </w:tcMar>
          </w:tcPr>
          <w:p>
            <w:pPr>
              <w:jc w:val="left"/>
            </w:pPr>
            <w:r>
              <w:rPr>
                <w:rFonts w:ascii="Calibri" w:hAnsi="Calibri"/>
                <w:color w:val="212529"/>
                <w:sz w:val="20"/>
              </w:rPr>
              <w:t>Pure unbleached handloom cotton; red or orange checked borders</w:t>
            </w:r>
          </w:p>
        </w:tc>
        <w:tc>
          <w:tcPr>
            <w:tcW w:type="dxa" w:w="3744"/>
            <w:shd w:fill="F9F6F0"/>
            <w:tcMar>
              <w:top w:w="100" w:type="dxa"/>
              <w:bottom w:w="100" w:type="dxa"/>
              <w:left w:w="140" w:type="dxa"/>
              <w:right w:w="140" w:type="dxa"/>
            </w:tcMar>
          </w:tcPr>
          <w:p>
            <w:pPr>
              <w:jc w:val="left"/>
            </w:pPr>
            <w:r>
              <w:rPr>
                <w:rFonts w:ascii="Calibri" w:hAnsi="Calibri"/>
                <w:color w:val="212529"/>
                <w:sz w:val="20"/>
              </w:rPr>
              <w:t>Ubiquitous Odia handloom towel worn by sevayats, fishermen, and pilgrims.</w:t>
            </w:r>
          </w:p>
        </w:tc>
      </w:tr>
      <w:tr>
        <w:tc>
          <w:tcPr>
            <w:tcW w:type="dxa" w:w="2304"/>
            <w:shd w:fill="FFFFFF"/>
            <w:tcMar>
              <w:top w:w="100" w:type="dxa"/>
              <w:bottom w:w="100" w:type="dxa"/>
              <w:left w:w="140" w:type="dxa"/>
              <w:right w:w="140" w:type="dxa"/>
            </w:tcMar>
          </w:tcPr>
          <w:p>
            <w:pPr>
              <w:jc w:val="left"/>
            </w:pPr>
            <w:r>
              <w:rPr>
                <w:rFonts w:ascii="Calibri" w:hAnsi="Calibri"/>
                <w:color w:val="212529"/>
                <w:sz w:val="20"/>
              </w:rPr>
              <w:t>Sevayat Dhoti &amp; Uttariya</w:t>
            </w:r>
          </w:p>
        </w:tc>
        <w:tc>
          <w:tcPr>
            <w:tcW w:type="dxa" w:w="3312"/>
            <w:shd w:fill="FFFFFF"/>
            <w:tcMar>
              <w:top w:w="100" w:type="dxa"/>
              <w:bottom w:w="100" w:type="dxa"/>
              <w:left w:w="140" w:type="dxa"/>
              <w:right w:w="140" w:type="dxa"/>
            </w:tcMar>
          </w:tcPr>
          <w:p>
            <w:pPr>
              <w:jc w:val="left"/>
            </w:pPr>
            <w:r>
              <w:rPr>
                <w:rFonts w:ascii="Calibri" w:hAnsi="Calibri"/>
                <w:color w:val="212529"/>
                <w:sz w:val="20"/>
              </w:rPr>
              <w:t>Fine white cotton with sacred yellow/red borders (Sadha / Pata)</w:t>
            </w:r>
          </w:p>
        </w:tc>
        <w:tc>
          <w:tcPr>
            <w:tcW w:type="dxa" w:w="3744"/>
            <w:shd w:fill="FFFFFF"/>
            <w:tcMar>
              <w:top w:w="100" w:type="dxa"/>
              <w:bottom w:w="100" w:type="dxa"/>
              <w:left w:w="140" w:type="dxa"/>
              <w:right w:w="140" w:type="dxa"/>
            </w:tcMar>
          </w:tcPr>
          <w:p>
            <w:pPr>
              <w:jc w:val="left"/>
            </w:pPr>
            <w:r>
              <w:rPr>
                <w:rFonts w:ascii="Calibri" w:hAnsi="Calibri"/>
                <w:color w:val="212529"/>
                <w:sz w:val="20"/>
              </w:rPr>
              <w:t>Mandatory ritual attire for priests serving on the Ratnavedi.</w:t>
            </w:r>
          </w:p>
        </w:tc>
      </w:tr>
      <w:tr>
        <w:tc>
          <w:tcPr>
            <w:tcW w:type="dxa" w:w="2304"/>
            <w:shd w:fill="F9F6F0"/>
            <w:tcMar>
              <w:top w:w="100" w:type="dxa"/>
              <w:bottom w:w="100" w:type="dxa"/>
              <w:left w:w="140" w:type="dxa"/>
              <w:right w:w="140" w:type="dxa"/>
            </w:tcMar>
          </w:tcPr>
          <w:p>
            <w:pPr>
              <w:jc w:val="left"/>
            </w:pPr>
            <w:r>
              <w:rPr>
                <w:rFonts w:ascii="Calibri" w:hAnsi="Calibri"/>
                <w:color w:val="212529"/>
                <w:sz w:val="20"/>
              </w:rPr>
              <w:t>Bomkai &amp; Sambalpuri Sarees</w:t>
            </w:r>
          </w:p>
        </w:tc>
        <w:tc>
          <w:tcPr>
            <w:tcW w:type="dxa" w:w="3312"/>
            <w:shd w:fill="F9F6F0"/>
            <w:tcMar>
              <w:top w:w="100" w:type="dxa"/>
              <w:bottom w:w="100" w:type="dxa"/>
              <w:left w:w="140" w:type="dxa"/>
              <w:right w:w="140" w:type="dxa"/>
            </w:tcMar>
          </w:tcPr>
          <w:p>
            <w:pPr>
              <w:jc w:val="left"/>
            </w:pPr>
            <w:r>
              <w:rPr>
                <w:rFonts w:ascii="Calibri" w:hAnsi="Calibri"/>
                <w:color w:val="212529"/>
                <w:sz w:val="20"/>
              </w:rPr>
              <w:t>Silk/Cotton Bandha with Shankha, Chakra, Padma, and Temple borders</w:t>
            </w:r>
          </w:p>
        </w:tc>
        <w:tc>
          <w:tcPr>
            <w:tcW w:type="dxa" w:w="3744"/>
            <w:shd w:fill="F9F6F0"/>
            <w:tcMar>
              <w:top w:w="100" w:type="dxa"/>
              <w:bottom w:w="100" w:type="dxa"/>
              <w:left w:w="140" w:type="dxa"/>
              <w:right w:w="140" w:type="dxa"/>
            </w:tcMar>
          </w:tcPr>
          <w:p>
            <w:pPr>
              <w:jc w:val="left"/>
            </w:pPr>
            <w:r>
              <w:rPr>
                <w:rFonts w:ascii="Calibri" w:hAnsi="Calibri"/>
                <w:color w:val="212529"/>
                <w:sz w:val="20"/>
              </w:rPr>
              <w:t>Distinct regional weaves from southern and western Odisha worn during temple visits.</w:t>
            </w:r>
          </w:p>
        </w:tc>
      </w:tr>
    </w:tbl>
    <w:p>
      <w:pPr>
        <w:spacing w:after="12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PUR-S003</w:t>
            </w:r>
          </w:p>
        </w:tc>
        <w:tc>
          <w:tcPr>
            <w:tcW w:type="dxa" w:w="2016"/>
            <w:shd w:fill="FFFFFF"/>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FFFFF"/>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PUR-S007</w:t>
            </w:r>
          </w:p>
        </w:tc>
        <w:tc>
          <w:tcPr>
            <w:tcW w:type="dxa" w:w="2016"/>
            <w:shd w:fill="F9F6F0"/>
            <w:tcMar>
              <w:top w:w="100" w:type="dxa"/>
              <w:bottom w:w="100" w:type="dxa"/>
              <w:left w:w="140" w:type="dxa"/>
              <w:right w:w="140" w:type="dxa"/>
            </w:tcMar>
          </w:tcPr>
          <w:p>
            <w:pPr>
              <w:jc w:val="left"/>
            </w:pPr>
            <w:r>
              <w:rPr>
                <w:rFonts w:ascii="Calibri" w:hAnsi="Calibri"/>
                <w:color w:val="212529"/>
                <w:sz w:val="20"/>
              </w:rPr>
              <w:t>Geographical Indications Registry of India</w:t>
            </w:r>
          </w:p>
        </w:tc>
        <w:tc>
          <w:tcPr>
            <w:tcW w:type="dxa" w:w="3024"/>
            <w:shd w:fill="F9F6F0"/>
            <w:tcMar>
              <w:top w:w="100" w:type="dxa"/>
              <w:bottom w:w="100" w:type="dxa"/>
              <w:left w:w="140" w:type="dxa"/>
              <w:right w:w="140" w:type="dxa"/>
            </w:tcMar>
          </w:tcPr>
          <w:p>
            <w:pPr>
              <w:jc w:val="left"/>
            </w:pPr>
            <w:r>
              <w:rPr>
                <w:rFonts w:ascii="Calibri" w:hAnsi="Calibri"/>
                <w:color w:val="212529"/>
                <w:sz w:val="20"/>
              </w:rPr>
              <w:t>Geographical Indication GI Application No. 51 (Odisha Pattachitra) &amp; No. 612 (Odisha Rasagola)</w:t>
            </w:r>
          </w:p>
        </w:tc>
        <w:tc>
          <w:tcPr>
            <w:tcW w:type="dxa" w:w="1584"/>
            <w:shd w:fill="F9F6F0"/>
            <w:tcMar>
              <w:top w:w="100" w:type="dxa"/>
              <w:bottom w:w="100" w:type="dxa"/>
              <w:left w:w="140" w:type="dxa"/>
              <w:right w:w="140" w:type="dxa"/>
            </w:tcMar>
          </w:tcPr>
          <w:p>
            <w:pPr>
              <w:jc w:val="left"/>
            </w:pPr>
            <w:r>
              <w:rPr>
                <w:rFonts w:ascii="Calibri" w:hAnsi="Calibri"/>
                <w:color w:val="212529"/>
                <w:sz w:val="20"/>
              </w:rPr>
              <w:t>Statutory Register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https://ipindia.gov.in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PUR-S014</w:t>
            </w:r>
          </w:p>
        </w:tc>
        <w:tc>
          <w:tcPr>
            <w:tcW w:type="dxa" w:w="2016"/>
            <w:shd w:fill="FFFFFF"/>
            <w:tcMar>
              <w:top w:w="100" w:type="dxa"/>
              <w:bottom w:w="100" w:type="dxa"/>
              <w:left w:w="140" w:type="dxa"/>
              <w:right w:w="140" w:type="dxa"/>
            </w:tcMar>
          </w:tcPr>
          <w:p>
            <w:pPr>
              <w:jc w:val="left"/>
            </w:pPr>
            <w:r>
              <w:rPr>
                <w:rFonts w:ascii="Calibri" w:hAnsi="Calibri"/>
                <w:color w:val="212529"/>
                <w:sz w:val="20"/>
              </w:rPr>
              <w:t>Development Commissioner (Handicrafts)</w:t>
            </w:r>
          </w:p>
        </w:tc>
        <w:tc>
          <w:tcPr>
            <w:tcW w:type="dxa" w:w="3024"/>
            <w:shd w:fill="FFFFFF"/>
            <w:tcMar>
              <w:top w:w="100" w:type="dxa"/>
              <w:bottom w:w="100" w:type="dxa"/>
              <w:left w:w="140" w:type="dxa"/>
              <w:right w:w="140" w:type="dxa"/>
            </w:tcMar>
          </w:tcPr>
          <w:p>
            <w:pPr>
              <w:jc w:val="left"/>
            </w:pPr>
            <w:r>
              <w:rPr>
                <w:rFonts w:ascii="Calibri" w:hAnsi="Calibri"/>
                <w:color w:val="212529"/>
                <w:sz w:val="20"/>
              </w:rPr>
              <w:t>Comprehensive Artisan Diagnostic Study: Raghurajpur Craft Heritage Village</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Diagnostic Study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https://handicrafts.nic.in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TEXTILES &amp; TRADITIONAL ATTIRE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