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13 • PATTACHITRA &amp; RAGHURAJPUR (DEEP DIVE)</w:t>
              <w:br/>
            </w:r>
            <w:r>
              <w:rPr>
                <w:rFonts w:ascii="Georgia" w:hAnsi="Georgia"/>
                <w:b/>
                <w:color w:val="FFFFFF"/>
                <w:sz w:val="36"/>
              </w:rPr>
              <w:t>Pattachitra &amp; Raghurajpur: Master Scroll Painting &amp; Heritage Craft Village</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Ancient Art of Odisha Pattachitra (GI Registered)</w:t>
      </w:r>
    </w:p>
    <w:p>
      <w:pPr>
        <w:spacing w:after="120" w:line="276" w:lineRule="auto"/>
      </w:pPr>
      <w:r>
        <w:rPr>
          <w:rFonts w:ascii="Calibri" w:hAnsi="Calibri"/>
          <w:i w:val="0"/>
          <w:color w:val="212529"/>
          <w:sz w:val="22"/>
        </w:rPr>
        <w:t>Pattachitra (derived from Sanskrit 'Patta' meaning canvas/cloth and 'Chitra' meaning painting) is a classical scroll painting tradition rooted in the sacred rituals of the Jagannath Temple since at least the 12th century CE. It received Geographical Indication (GI) Tag No. 51 in 2008:</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016"/>
            <w:shd w:fill="8B1E0F"/>
            <w:tcMar>
              <w:top w:w="120" w:type="dxa"/>
              <w:bottom w:w="120" w:type="dxa"/>
              <w:left w:w="140" w:type="dxa"/>
              <w:right w:w="140" w:type="dxa"/>
            </w:tcMar>
          </w:tcPr>
          <w:p>
            <w:pPr>
              <w:jc w:val="left"/>
            </w:pPr>
            <w:r>
              <w:rPr>
                <w:rFonts w:ascii="Calibri" w:hAnsi="Calibri"/>
                <w:b/>
                <w:color w:val="FFFFFF"/>
                <w:sz w:val="20"/>
              </w:rPr>
              <w:t>Production Stage</w:t>
            </w:r>
          </w:p>
        </w:tc>
        <w:tc>
          <w:tcPr>
            <w:tcW w:type="dxa" w:w="3312"/>
            <w:shd w:fill="8B1E0F"/>
            <w:tcMar>
              <w:top w:w="120" w:type="dxa"/>
              <w:bottom w:w="120" w:type="dxa"/>
              <w:left w:w="140" w:type="dxa"/>
              <w:right w:w="140" w:type="dxa"/>
            </w:tcMar>
          </w:tcPr>
          <w:p>
            <w:pPr>
              <w:jc w:val="left"/>
            </w:pPr>
            <w:r>
              <w:rPr>
                <w:rFonts w:ascii="Calibri" w:hAnsi="Calibri"/>
                <w:b/>
                <w:color w:val="FFFFFF"/>
                <w:sz w:val="20"/>
              </w:rPr>
              <w:t>Materials &amp; Chemical Process</w:t>
            </w:r>
          </w:p>
        </w:tc>
        <w:tc>
          <w:tcPr>
            <w:tcW w:type="dxa" w:w="4032"/>
            <w:shd w:fill="8B1E0F"/>
            <w:tcMar>
              <w:top w:w="120" w:type="dxa"/>
              <w:bottom w:w="120" w:type="dxa"/>
              <w:left w:w="140" w:type="dxa"/>
              <w:right w:w="140" w:type="dxa"/>
            </w:tcMar>
          </w:tcPr>
          <w:p>
            <w:pPr>
              <w:jc w:val="left"/>
            </w:pPr>
            <w:r>
              <w:rPr>
                <w:rFonts w:ascii="Calibri" w:hAnsi="Calibri"/>
                <w:b/>
                <w:color w:val="FFFFFF"/>
                <w:sz w:val="20"/>
              </w:rPr>
              <w:t>Artisan Technique &amp; Aesthetics</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Patta (Cloth Base)</w:t>
            </w:r>
          </w:p>
        </w:tc>
        <w:tc>
          <w:tcPr>
            <w:tcW w:type="dxa" w:w="3312"/>
            <w:shd w:fill="FFFFFF"/>
            <w:tcMar>
              <w:top w:w="100" w:type="dxa"/>
              <w:bottom w:w="100" w:type="dxa"/>
              <w:left w:w="140" w:type="dxa"/>
              <w:right w:w="140" w:type="dxa"/>
            </w:tcMar>
          </w:tcPr>
          <w:p>
            <w:pPr>
              <w:jc w:val="left"/>
            </w:pPr>
            <w:r>
              <w:rPr>
                <w:rFonts w:ascii="Calibri" w:hAnsi="Calibri"/>
                <w:color w:val="212529"/>
                <w:sz w:val="20"/>
              </w:rPr>
              <w:t>Layers of pure cotton/silk treated with tamarind seed paste (Niryas) and chalk powder (Khadya)</w:t>
            </w:r>
          </w:p>
        </w:tc>
        <w:tc>
          <w:tcPr>
            <w:tcW w:type="dxa" w:w="4032"/>
            <w:shd w:fill="FFFFFF"/>
            <w:tcMar>
              <w:top w:w="100" w:type="dxa"/>
              <w:bottom w:w="100" w:type="dxa"/>
              <w:left w:w="140" w:type="dxa"/>
              <w:right w:w="140" w:type="dxa"/>
            </w:tcMar>
          </w:tcPr>
          <w:p>
            <w:pPr>
              <w:jc w:val="left"/>
            </w:pPr>
            <w:r>
              <w:rPr>
                <w:rFonts w:ascii="Calibri" w:hAnsi="Calibri"/>
                <w:color w:val="212529"/>
                <w:sz w:val="20"/>
              </w:rPr>
              <w:t>Polished with semi-precious agate stones (Khaddar) to create a smooth, leather-like canvas.</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100% Natural Pigments</w:t>
            </w:r>
          </w:p>
        </w:tc>
        <w:tc>
          <w:tcPr>
            <w:tcW w:type="dxa" w:w="3312"/>
            <w:shd w:fill="F9F6F0"/>
            <w:tcMar>
              <w:top w:w="100" w:type="dxa"/>
              <w:bottom w:w="100" w:type="dxa"/>
              <w:left w:w="140" w:type="dxa"/>
              <w:right w:w="140" w:type="dxa"/>
            </w:tcMar>
          </w:tcPr>
          <w:p>
            <w:pPr>
              <w:jc w:val="left"/>
            </w:pPr>
            <w:r>
              <w:rPr>
                <w:rFonts w:ascii="Calibri" w:hAnsi="Calibri"/>
                <w:color w:val="212529"/>
                <w:sz w:val="20"/>
              </w:rPr>
              <w:t>Hingula (vermillion), Haritala (yellow arsenic stone), Sankha (conch white), Lamp Black (Kajala), Geru (ochre)</w:t>
            </w:r>
          </w:p>
        </w:tc>
        <w:tc>
          <w:tcPr>
            <w:tcW w:type="dxa" w:w="4032"/>
            <w:shd w:fill="F9F6F0"/>
            <w:tcMar>
              <w:top w:w="100" w:type="dxa"/>
              <w:bottom w:w="100" w:type="dxa"/>
              <w:left w:w="140" w:type="dxa"/>
              <w:right w:w="140" w:type="dxa"/>
            </w:tcMar>
          </w:tcPr>
          <w:p>
            <w:pPr>
              <w:jc w:val="left"/>
            </w:pPr>
            <w:r>
              <w:rPr>
                <w:rFonts w:ascii="Calibri" w:hAnsi="Calibri"/>
                <w:color w:val="212529"/>
                <w:sz w:val="20"/>
              </w:rPr>
              <w:t>Zero synthetic chemicals; crushed by hand and bound with tree gum (Babool resin).</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Fine Brushwork</w:t>
            </w:r>
          </w:p>
        </w:tc>
        <w:tc>
          <w:tcPr>
            <w:tcW w:type="dxa" w:w="3312"/>
            <w:shd w:fill="FFFFFF"/>
            <w:tcMar>
              <w:top w:w="100" w:type="dxa"/>
              <w:bottom w:w="100" w:type="dxa"/>
              <w:left w:w="140" w:type="dxa"/>
              <w:right w:w="140" w:type="dxa"/>
            </w:tcMar>
          </w:tcPr>
          <w:p>
            <w:pPr>
              <w:jc w:val="left"/>
            </w:pPr>
            <w:r>
              <w:rPr>
                <w:rFonts w:ascii="Calibri" w:hAnsi="Calibri"/>
                <w:color w:val="212529"/>
                <w:sz w:val="20"/>
              </w:rPr>
              <w:t>Brushes made from fine mongoose, mouse, or squirrel hair fixed into bamboo quills</w:t>
            </w:r>
          </w:p>
        </w:tc>
        <w:tc>
          <w:tcPr>
            <w:tcW w:type="dxa" w:w="4032"/>
            <w:shd w:fill="FFFFFF"/>
            <w:tcMar>
              <w:top w:w="100" w:type="dxa"/>
              <w:bottom w:w="100" w:type="dxa"/>
              <w:left w:w="140" w:type="dxa"/>
              <w:right w:w="140" w:type="dxa"/>
            </w:tcMar>
          </w:tcPr>
          <w:p>
            <w:pPr>
              <w:jc w:val="left"/>
            </w:pPr>
            <w:r>
              <w:rPr>
                <w:rFonts w:ascii="Calibri" w:hAnsi="Calibri"/>
                <w:color w:val="212529"/>
                <w:sz w:val="20"/>
              </w:rPr>
              <w:t>Intricate hair-thin line work (Poli and Dhala work) with signature floral lace borders (Laccha).</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Finishing (Varnish)</w:t>
            </w:r>
          </w:p>
        </w:tc>
        <w:tc>
          <w:tcPr>
            <w:tcW w:type="dxa" w:w="3312"/>
            <w:shd w:fill="F9F6F0"/>
            <w:tcMar>
              <w:top w:w="100" w:type="dxa"/>
              <w:bottom w:w="100" w:type="dxa"/>
              <w:left w:w="140" w:type="dxa"/>
              <w:right w:w="140" w:type="dxa"/>
            </w:tcMar>
          </w:tcPr>
          <w:p>
            <w:pPr>
              <w:jc w:val="left"/>
            </w:pPr>
            <w:r>
              <w:rPr>
                <w:rFonts w:ascii="Calibri" w:hAnsi="Calibri"/>
                <w:color w:val="212529"/>
                <w:sz w:val="20"/>
              </w:rPr>
              <w:t>Natural lac (Jaunsa) coating melted over glowing charcoal</w:t>
            </w:r>
          </w:p>
        </w:tc>
        <w:tc>
          <w:tcPr>
            <w:tcW w:type="dxa" w:w="4032"/>
            <w:shd w:fill="F9F6F0"/>
            <w:tcMar>
              <w:top w:w="100" w:type="dxa"/>
              <w:bottom w:w="100" w:type="dxa"/>
              <w:left w:w="140" w:type="dxa"/>
              <w:right w:w="140" w:type="dxa"/>
            </w:tcMar>
          </w:tcPr>
          <w:p>
            <w:pPr>
              <w:jc w:val="left"/>
            </w:pPr>
            <w:r>
              <w:rPr>
                <w:rFonts w:ascii="Calibri" w:hAnsi="Calibri"/>
                <w:color w:val="212529"/>
                <w:sz w:val="20"/>
              </w:rPr>
              <w:t>Renders the painting waterproof, lustrous, and remarkably resilient for decades.</w:t>
            </w:r>
          </w:p>
        </w:tc>
      </w:tr>
    </w:tbl>
    <w:p>
      <w:pPr>
        <w:spacing w:after="120"/>
      </w:pPr>
    </w:p>
    <w:p>
      <w:pPr>
        <w:keepNext/>
        <w:spacing w:before="320" w:after="120"/>
      </w:pPr>
      <w:r>
        <w:rPr>
          <w:rFonts w:ascii="Georgia" w:hAnsi="Georgia"/>
          <w:b/>
          <w:color w:val="8B1E0F"/>
          <w:sz w:val="30"/>
        </w:rPr>
        <w:t>2. Raghurajpur: India's Premier Heritage Craft Village</w:t>
      </w:r>
    </w:p>
    <w:p>
      <w:pPr>
        <w:spacing w:after="120" w:line="276" w:lineRule="auto"/>
      </w:pPr>
      <w:r>
        <w:rPr>
          <w:rFonts w:ascii="Calibri" w:hAnsi="Calibri"/>
          <w:i w:val="0"/>
          <w:color w:val="212529"/>
          <w:sz w:val="22"/>
        </w:rPr>
        <w:t>Located 14 km north of Puri amidst coconut and betel groves on the southern bank of the Bhargavi river, Raghurajpur is an internationally celebrated heritage village designated by INTACH and the Ministry of Tourism in 2000. Unique in South Asia, virtually every one of its ~140 households is actively engaged in master handicrafts:</w:t>
      </w:r>
    </w:p>
    <w:p>
      <w:pPr>
        <w:pStyle w:val="ListBullet"/>
        <w:spacing w:after="60" w:line="276" w:lineRule="auto"/>
      </w:pPr>
      <w:r>
        <w:rPr>
          <w:rFonts w:ascii="Calibri" w:hAnsi="Calibri"/>
          <w:b/>
          <w:color w:val="2C3E50"/>
          <w:sz w:val="22"/>
        </w:rPr>
        <w:t xml:space="preserve">• </w:t>
      </w:r>
      <w:r>
        <w:rPr>
          <w:rFonts w:ascii="Calibri" w:hAnsi="Calibri"/>
          <w:color w:val="212529"/>
          <w:sz w:val="22"/>
        </w:rPr>
        <w:t>Urban Layout &amp; Mural Architecture: Two parallel rows of traditional brick and thatched houses facing a central shrine dedicated to Radha-Mohan, with house facades decorated with vibrant exterior murals.</w:t>
      </w:r>
    </w:p>
    <w:p>
      <w:pPr>
        <w:pStyle w:val="ListBullet"/>
        <w:spacing w:after="60" w:line="276" w:lineRule="auto"/>
      </w:pPr>
      <w:r>
        <w:rPr>
          <w:rFonts w:ascii="Calibri" w:hAnsi="Calibri"/>
          <w:b/>
          <w:color w:val="2C3E50"/>
          <w:sz w:val="22"/>
        </w:rPr>
        <w:t xml:space="preserve">• </w:t>
      </w:r>
      <w:r>
        <w:rPr>
          <w:rFonts w:ascii="Calibri" w:hAnsi="Calibri"/>
          <w:color w:val="212529"/>
          <w:sz w:val="22"/>
        </w:rPr>
        <w:t>Tala Pattachitra (Palm Leaf Engraving): Dried palm leaves (Corypha umbraculifera) etched with a fine iron stylus (Lekhani) and rubbed with lamp black to reveal microscopic, exquisite line illustrations.</w:t>
      </w:r>
    </w:p>
    <w:p>
      <w:pPr>
        <w:pStyle w:val="ListBullet"/>
        <w:spacing w:after="60" w:line="276" w:lineRule="auto"/>
      </w:pPr>
      <w:r>
        <w:rPr>
          <w:rFonts w:ascii="Calibri" w:hAnsi="Calibri"/>
          <w:b/>
          <w:color w:val="2C3E50"/>
          <w:sz w:val="22"/>
        </w:rPr>
        <w:t xml:space="preserve">• </w:t>
      </w:r>
      <w:r>
        <w:rPr>
          <w:rFonts w:ascii="Calibri" w:hAnsi="Calibri"/>
          <w:color w:val="212529"/>
          <w:sz w:val="22"/>
        </w:rPr>
        <w:t>Gotipua Gurukuls: Birthplace of Padma Vibhushan Guru Kelucharan Mohapatra; home to active Gotipua dance gurukuls preserving traditional performance disciplines.</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PUR-S006</w:t>
            </w:r>
          </w:p>
        </w:tc>
        <w:tc>
          <w:tcPr>
            <w:tcW w:type="dxa" w:w="2016"/>
            <w:shd w:fill="F9F6F0"/>
            <w:tcMar>
              <w:top w:w="100" w:type="dxa"/>
              <w:bottom w:w="100" w:type="dxa"/>
              <w:left w:w="140" w:type="dxa"/>
              <w:right w:w="140" w:type="dxa"/>
            </w:tcMar>
          </w:tcPr>
          <w:p>
            <w:pPr>
              <w:jc w:val="left"/>
            </w:pPr>
            <w:r>
              <w:rPr>
                <w:rFonts w:ascii="Calibri" w:hAnsi="Calibri"/>
                <w:color w:val="212529"/>
                <w:sz w:val="20"/>
              </w:rPr>
              <w:t>INTACH (Odisha State Chapter)</w:t>
            </w:r>
          </w:p>
        </w:tc>
        <w:tc>
          <w:tcPr>
            <w:tcW w:type="dxa" w:w="3024"/>
            <w:shd w:fill="F9F6F0"/>
            <w:tcMar>
              <w:top w:w="100" w:type="dxa"/>
              <w:bottom w:w="100" w:type="dxa"/>
              <w:left w:w="140" w:type="dxa"/>
              <w:right w:w="140" w:type="dxa"/>
            </w:tcMar>
          </w:tcPr>
          <w:p>
            <w:pPr>
              <w:jc w:val="left"/>
            </w:pPr>
            <w:r>
              <w:rPr>
                <w:rFonts w:ascii="Calibri" w:hAnsi="Calibri"/>
                <w:color w:val="212529"/>
                <w:sz w:val="20"/>
              </w:rPr>
              <w:t>Listing and Documentation of Built Heritage &amp; Traditional Mathas of Puri (Shrikshetra)</w:t>
            </w:r>
          </w:p>
        </w:tc>
        <w:tc>
          <w:tcPr>
            <w:tcW w:type="dxa" w:w="1584"/>
            <w:shd w:fill="F9F6F0"/>
            <w:tcMar>
              <w:top w:w="100" w:type="dxa"/>
              <w:bottom w:w="100" w:type="dxa"/>
              <w:left w:w="140" w:type="dxa"/>
              <w:right w:w="140" w:type="dxa"/>
            </w:tcMar>
          </w:tcPr>
          <w:p>
            <w:pPr>
              <w:jc w:val="left"/>
            </w:pPr>
            <w:r>
              <w:rPr>
                <w:rFonts w:ascii="Calibri" w:hAnsi="Calibri"/>
                <w:color w:val="212529"/>
                <w:sz w:val="20"/>
              </w:rPr>
              <w:t>Heritage Monograph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https://intach.org</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PUR-S007</w:t>
            </w:r>
          </w:p>
        </w:tc>
        <w:tc>
          <w:tcPr>
            <w:tcW w:type="dxa" w:w="2016"/>
            <w:shd w:fill="FFFFFF"/>
            <w:tcMar>
              <w:top w:w="100" w:type="dxa"/>
              <w:bottom w:w="100" w:type="dxa"/>
              <w:left w:w="140" w:type="dxa"/>
              <w:right w:w="140" w:type="dxa"/>
            </w:tcMar>
          </w:tcPr>
          <w:p>
            <w:pPr>
              <w:jc w:val="left"/>
            </w:pPr>
            <w:r>
              <w:rPr>
                <w:rFonts w:ascii="Calibri" w:hAnsi="Calibri"/>
                <w:color w:val="212529"/>
                <w:sz w:val="20"/>
              </w:rPr>
              <w:t>Geographical Indications Registry of India</w:t>
            </w:r>
          </w:p>
        </w:tc>
        <w:tc>
          <w:tcPr>
            <w:tcW w:type="dxa" w:w="3024"/>
            <w:shd w:fill="FFFFFF"/>
            <w:tcMar>
              <w:top w:w="100" w:type="dxa"/>
              <w:bottom w:w="100" w:type="dxa"/>
              <w:left w:w="140" w:type="dxa"/>
              <w:right w:w="140" w:type="dxa"/>
            </w:tcMar>
          </w:tcPr>
          <w:p>
            <w:pPr>
              <w:jc w:val="left"/>
            </w:pPr>
            <w:r>
              <w:rPr>
                <w:rFonts w:ascii="Calibri" w:hAnsi="Calibri"/>
                <w:color w:val="212529"/>
                <w:sz w:val="20"/>
              </w:rPr>
              <w:t>Geographical Indication GI Application No. 51 (Odisha Pattachitra) &amp; No. 612 (Odisha Rasagola)</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Register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https://ipindia.gov.in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PUR-S014</w:t>
            </w:r>
          </w:p>
        </w:tc>
        <w:tc>
          <w:tcPr>
            <w:tcW w:type="dxa" w:w="2016"/>
            <w:shd w:fill="F9F6F0"/>
            <w:tcMar>
              <w:top w:w="100" w:type="dxa"/>
              <w:bottom w:w="100" w:type="dxa"/>
              <w:left w:w="140" w:type="dxa"/>
              <w:right w:w="140" w:type="dxa"/>
            </w:tcMar>
          </w:tcPr>
          <w:p>
            <w:pPr>
              <w:jc w:val="left"/>
            </w:pPr>
            <w:r>
              <w:rPr>
                <w:rFonts w:ascii="Calibri" w:hAnsi="Calibri"/>
                <w:color w:val="212529"/>
                <w:sz w:val="20"/>
              </w:rPr>
              <w:t>Development Commissioner (Handicrafts)</w:t>
            </w:r>
          </w:p>
        </w:tc>
        <w:tc>
          <w:tcPr>
            <w:tcW w:type="dxa" w:w="3024"/>
            <w:shd w:fill="F9F6F0"/>
            <w:tcMar>
              <w:top w:w="100" w:type="dxa"/>
              <w:bottom w:w="100" w:type="dxa"/>
              <w:left w:w="140" w:type="dxa"/>
              <w:right w:w="140" w:type="dxa"/>
            </w:tcMar>
          </w:tcPr>
          <w:p>
            <w:pPr>
              <w:jc w:val="left"/>
            </w:pPr>
            <w:r>
              <w:rPr>
                <w:rFonts w:ascii="Calibri" w:hAnsi="Calibri"/>
                <w:color w:val="212529"/>
                <w:sz w:val="20"/>
              </w:rPr>
              <w:t>Comprehensive Artisan Diagnostic Study: Raghurajpur Craft Heritage Village</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Diagnostic Study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https://handicrafts.nic.in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PATTACHITRA &amp; RAGHURAJPUR (DEEP DIVE)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