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360"/>
      </w:tblGrid>
      <w:tr>
        <w:tc>
          <w:tcPr>
            <w:tcW w:type="dxa" w:w="9360"/>
            <w:shd w:fill="8B1E0F"/>
            <w:tcMar>
              <w:top w:w="200" w:type="dxa"/>
              <w:bottom w:w="200" w:type="dxa"/>
              <w:left w:w="240" w:type="dxa"/>
              <w:right w:w="240" w:type="dxa"/>
            </w:tcMar>
          </w:tcPr>
          <w:p>
            <w:pPr>
              <w:spacing w:after="80"/>
              <w:jc w:val="left"/>
            </w:pPr>
            <w:r>
              <w:rPr>
                <w:rFonts w:ascii="Calibri" w:hAnsi="Calibri"/>
                <w:b/>
                <w:color w:val="C58F27"/>
                <w:sz w:val="19"/>
              </w:rPr>
              <w:t>DOCUMENT 14 • PERFORMING ARTS &amp; MUSIC</w:t>
              <w:br/>
            </w:r>
            <w:r>
              <w:rPr>
                <w:rFonts w:ascii="Georgia" w:hAnsi="Georgia"/>
                <w:b/>
                <w:color w:val="FFFFFF"/>
                <w:sz w:val="36"/>
              </w:rPr>
              <w:t>Music &amp; Dance: Odissi Classical Traditions, Mardala, &amp; Panchamahabadya</w:t>
            </w:r>
          </w:p>
          <w:p>
            <w:pPr>
              <w:spacing w:after="0"/>
            </w:pPr>
            <w:r>
              <w:rPr>
                <w:rFonts w:ascii="Calibri" w:hAnsi="Calibri"/>
                <w:i/>
                <w:color w:val="F0E6DC"/>
                <w:sz w:val="20"/>
              </w:rPr>
              <w:t>Puri Cultural Heritage Research Knowledge Base • Odisha, India</w:t>
            </w:r>
          </w:p>
        </w:tc>
      </w:tr>
    </w:tbl>
    <w:p>
      <w:pPr>
        <w:spacing w:after="200"/>
      </w:pPr>
    </w:p>
    <w:p>
      <w:pPr>
        <w:keepNext/>
        <w:spacing w:before="320" w:after="120"/>
      </w:pPr>
      <w:r>
        <w:rPr>
          <w:rFonts w:ascii="Georgia" w:hAnsi="Georgia"/>
          <w:b/>
          <w:color w:val="8B1E0F"/>
          <w:sz w:val="30"/>
        </w:rPr>
        <w:t>1. Odissi Classical Music Tradition (Odissi Sangita)</w:t>
      </w:r>
    </w:p>
    <w:p>
      <w:pPr>
        <w:spacing w:after="120" w:line="276" w:lineRule="auto"/>
      </w:pPr>
      <w:r>
        <w:rPr>
          <w:rFonts w:ascii="Calibri" w:hAnsi="Calibri"/>
          <w:i w:val="0"/>
          <w:color w:val="212529"/>
          <w:sz w:val="22"/>
        </w:rPr>
        <w:t>Odissi Sangita is an ancient classical musical system distinct from both North Indian Hindustani and South Indian Carnatic systems, documented in classical treatises such as the Sangita Narayana and Gita Prakasa. Characterized by unique ragas (such as Kalyana Ahari, Mohana, Asavari), talas (Jhampa, Triputa, Khemta), and lyrical compositions derived from Jayadeva's Gita Govinda, Odissi music constitutes the auditory soul of Puri's temple worship.</w:t>
      </w:r>
    </w:p>
    <w:tbl>
      <w:tblPr>
        <w:tblW w:type="auto" w:w="0"/>
        <w:jc w:val="center"/>
        <w:tblLayout w:type="fixed"/>
        <w:tblLook w:firstColumn="1" w:firstRow="1" w:lastColumn="0" w:lastRow="0" w:noHBand="0" w:noVBand="1" w:val="04A0"/>
        <w:tblBorders>
          <w:top w:val="single" w:sz="4" w:space="0" w:color="D1C7B7"/>
          <w:bottom w:val="single" w:sz="4" w:space="0" w:color="D1C7B7"/>
          <w:left w:val="none"/>
          <w:right w:val="none"/>
          <w:insideH w:val="single" w:sz="4" w:space="0" w:color="D1C7B7"/>
          <w:insideV w:val="none"/>
        </w:tblBorders>
      </w:tblPr>
      <w:tblGrid>
        <w:gridCol w:w="3120"/>
        <w:gridCol w:w="3120"/>
        <w:gridCol w:w="3120"/>
      </w:tblGrid>
      <w:tr>
        <w:tc>
          <w:tcPr>
            <w:tcW w:type="dxa" w:w="2160"/>
            <w:shd w:fill="8B1E0F"/>
            <w:tcMar>
              <w:top w:w="120" w:type="dxa"/>
              <w:bottom w:w="120" w:type="dxa"/>
              <w:left w:w="140" w:type="dxa"/>
              <w:right w:w="140" w:type="dxa"/>
            </w:tcMar>
          </w:tcPr>
          <w:p>
            <w:pPr>
              <w:jc w:val="left"/>
            </w:pPr>
            <w:r>
              <w:rPr>
                <w:rFonts w:ascii="Calibri" w:hAnsi="Calibri"/>
                <w:b/>
                <w:color w:val="FFFFFF"/>
                <w:sz w:val="20"/>
              </w:rPr>
              <w:t>Musical Dimension</w:t>
            </w:r>
          </w:p>
        </w:tc>
        <w:tc>
          <w:tcPr>
            <w:tcW w:type="dxa" w:w="3312"/>
            <w:shd w:fill="8B1E0F"/>
            <w:tcMar>
              <w:top w:w="120" w:type="dxa"/>
              <w:bottom w:w="120" w:type="dxa"/>
              <w:left w:w="140" w:type="dxa"/>
              <w:right w:w="140" w:type="dxa"/>
            </w:tcMar>
          </w:tcPr>
          <w:p>
            <w:pPr>
              <w:jc w:val="left"/>
            </w:pPr>
            <w:r>
              <w:rPr>
                <w:rFonts w:ascii="Calibri" w:hAnsi="Calibri"/>
                <w:b/>
                <w:color w:val="FFFFFF"/>
                <w:sz w:val="20"/>
              </w:rPr>
              <w:t>Instruments / Vocal Style</w:t>
            </w:r>
          </w:p>
        </w:tc>
        <w:tc>
          <w:tcPr>
            <w:tcW w:type="dxa" w:w="3888"/>
            <w:shd w:fill="8B1E0F"/>
            <w:tcMar>
              <w:top w:w="120" w:type="dxa"/>
              <w:bottom w:w="120" w:type="dxa"/>
              <w:left w:w="140" w:type="dxa"/>
              <w:right w:w="140" w:type="dxa"/>
            </w:tcMar>
          </w:tcPr>
          <w:p>
            <w:pPr>
              <w:jc w:val="left"/>
            </w:pPr>
            <w:r>
              <w:rPr>
                <w:rFonts w:ascii="Calibri" w:hAnsi="Calibri"/>
                <w:b/>
                <w:color w:val="FFFFFF"/>
                <w:sz w:val="20"/>
              </w:rPr>
              <w:t>Ritual &amp; Cultural Function</w:t>
            </w:r>
          </w:p>
        </w:tc>
      </w:tr>
      <w:tr>
        <w:tc>
          <w:tcPr>
            <w:tcW w:type="dxa" w:w="2160"/>
            <w:shd w:fill="FFFFFF"/>
            <w:tcMar>
              <w:top w:w="100" w:type="dxa"/>
              <w:bottom w:w="100" w:type="dxa"/>
              <w:left w:w="140" w:type="dxa"/>
              <w:right w:w="140" w:type="dxa"/>
            </w:tcMar>
          </w:tcPr>
          <w:p>
            <w:pPr>
              <w:jc w:val="left"/>
            </w:pPr>
            <w:r>
              <w:rPr>
                <w:rFonts w:ascii="Calibri" w:hAnsi="Calibri"/>
                <w:color w:val="212529"/>
                <w:sz w:val="20"/>
              </w:rPr>
              <w:t>Mardala (ମର୍ଦ୍ଦଳ)</w:t>
            </w:r>
          </w:p>
        </w:tc>
        <w:tc>
          <w:tcPr>
            <w:tcW w:type="dxa" w:w="3312"/>
            <w:shd w:fill="FFFFFF"/>
            <w:tcMar>
              <w:top w:w="100" w:type="dxa"/>
              <w:bottom w:w="100" w:type="dxa"/>
              <w:left w:w="140" w:type="dxa"/>
              <w:right w:w="140" w:type="dxa"/>
            </w:tcMar>
          </w:tcPr>
          <w:p>
            <w:pPr>
              <w:jc w:val="left"/>
            </w:pPr>
            <w:r>
              <w:rPr>
                <w:rFonts w:ascii="Calibri" w:hAnsi="Calibri"/>
                <w:color w:val="212529"/>
                <w:sz w:val="20"/>
              </w:rPr>
              <w:t>Two-headed barrel drum made of seasoned wood and leather; high pitch precision</w:t>
            </w:r>
          </w:p>
        </w:tc>
        <w:tc>
          <w:tcPr>
            <w:tcW w:type="dxa" w:w="3888"/>
            <w:shd w:fill="FFFFFF"/>
            <w:tcMar>
              <w:top w:w="100" w:type="dxa"/>
              <w:bottom w:w="100" w:type="dxa"/>
              <w:left w:w="140" w:type="dxa"/>
              <w:right w:w="140" w:type="dxa"/>
            </w:tcMar>
          </w:tcPr>
          <w:p>
            <w:pPr>
              <w:jc w:val="left"/>
            </w:pPr>
            <w:r>
              <w:rPr>
                <w:rFonts w:ascii="Calibri" w:hAnsi="Calibri"/>
                <w:color w:val="212529"/>
                <w:sz w:val="20"/>
              </w:rPr>
              <w:t>The primary percussive accompaniment for Odissi dance and temple rituals; recognized classical drum.</w:t>
            </w:r>
          </w:p>
        </w:tc>
      </w:tr>
      <w:tr>
        <w:tc>
          <w:tcPr>
            <w:tcW w:type="dxa" w:w="2160"/>
            <w:shd w:fill="F9F6F0"/>
            <w:tcMar>
              <w:top w:w="100" w:type="dxa"/>
              <w:bottom w:w="100" w:type="dxa"/>
              <w:left w:w="140" w:type="dxa"/>
              <w:right w:w="140" w:type="dxa"/>
            </w:tcMar>
          </w:tcPr>
          <w:p>
            <w:pPr>
              <w:jc w:val="left"/>
            </w:pPr>
            <w:r>
              <w:rPr>
                <w:rFonts w:ascii="Calibri" w:hAnsi="Calibri"/>
                <w:color w:val="212529"/>
                <w:sz w:val="20"/>
              </w:rPr>
              <w:t>Panchamahabadya</w:t>
            </w:r>
          </w:p>
        </w:tc>
        <w:tc>
          <w:tcPr>
            <w:tcW w:type="dxa" w:w="3312"/>
            <w:shd w:fill="F9F6F0"/>
            <w:tcMar>
              <w:top w:w="100" w:type="dxa"/>
              <w:bottom w:w="100" w:type="dxa"/>
              <w:left w:w="140" w:type="dxa"/>
              <w:right w:w="140" w:type="dxa"/>
            </w:tcMar>
          </w:tcPr>
          <w:p>
            <w:pPr>
              <w:jc w:val="left"/>
            </w:pPr>
            <w:r>
              <w:rPr>
                <w:rFonts w:ascii="Calibri" w:hAnsi="Calibri"/>
                <w:color w:val="212529"/>
                <w:sz w:val="20"/>
              </w:rPr>
              <w:t>Five sacred instruments: Ghanta (cymbals), Kahali (metal horn), Dhol, Bheri, Mahuri (oboe-like)</w:t>
            </w:r>
          </w:p>
        </w:tc>
        <w:tc>
          <w:tcPr>
            <w:tcW w:type="dxa" w:w="3888"/>
            <w:shd w:fill="F9F6F0"/>
            <w:tcMar>
              <w:top w:w="100" w:type="dxa"/>
              <w:bottom w:w="100" w:type="dxa"/>
              <w:left w:w="140" w:type="dxa"/>
              <w:right w:w="140" w:type="dxa"/>
            </w:tcMar>
          </w:tcPr>
          <w:p>
            <w:pPr>
              <w:jc w:val="left"/>
            </w:pPr>
            <w:r>
              <w:rPr>
                <w:rFonts w:ascii="Calibri" w:hAnsi="Calibri"/>
                <w:color w:val="212529"/>
                <w:sz w:val="20"/>
              </w:rPr>
              <w:t>Played during deity processions (Pahandi, Chandan Yatra, daily royal services).</w:t>
            </w:r>
          </w:p>
        </w:tc>
      </w:tr>
      <w:tr>
        <w:tc>
          <w:tcPr>
            <w:tcW w:type="dxa" w:w="2160"/>
            <w:shd w:fill="FFFFFF"/>
            <w:tcMar>
              <w:top w:w="100" w:type="dxa"/>
              <w:bottom w:w="100" w:type="dxa"/>
              <w:left w:w="140" w:type="dxa"/>
              <w:right w:w="140" w:type="dxa"/>
            </w:tcMar>
          </w:tcPr>
          <w:p>
            <w:pPr>
              <w:jc w:val="left"/>
            </w:pPr>
            <w:r>
              <w:rPr>
                <w:rFonts w:ascii="Calibri" w:hAnsi="Calibri"/>
                <w:color w:val="212529"/>
                <w:sz w:val="20"/>
              </w:rPr>
              <w:t>Temple Gita Govinda Recitation</w:t>
            </w:r>
          </w:p>
        </w:tc>
        <w:tc>
          <w:tcPr>
            <w:tcW w:type="dxa" w:w="3312"/>
            <w:shd w:fill="FFFFFF"/>
            <w:tcMar>
              <w:top w:w="100" w:type="dxa"/>
              <w:bottom w:w="100" w:type="dxa"/>
              <w:left w:w="140" w:type="dxa"/>
              <w:right w:w="140" w:type="dxa"/>
            </w:tcMar>
          </w:tcPr>
          <w:p>
            <w:pPr>
              <w:jc w:val="left"/>
            </w:pPr>
            <w:r>
              <w:rPr>
                <w:rFonts w:ascii="Calibri" w:hAnsi="Calibri"/>
                <w:color w:val="212529"/>
                <w:sz w:val="20"/>
              </w:rPr>
              <w:t>Sung nightly at Badasinghara by hereditary Sevakas (Gita Govinda Gayakas)</w:t>
            </w:r>
          </w:p>
        </w:tc>
        <w:tc>
          <w:tcPr>
            <w:tcW w:type="dxa" w:w="3888"/>
            <w:shd w:fill="FFFFFF"/>
            <w:tcMar>
              <w:top w:w="100" w:type="dxa"/>
              <w:bottom w:w="100" w:type="dxa"/>
              <w:left w:w="140" w:type="dxa"/>
              <w:right w:w="140" w:type="dxa"/>
            </w:tcMar>
          </w:tcPr>
          <w:p>
            <w:pPr>
              <w:jc w:val="left"/>
            </w:pPr>
            <w:r>
              <w:rPr>
                <w:rFonts w:ascii="Calibri" w:hAnsi="Calibri"/>
                <w:color w:val="212529"/>
                <w:sz w:val="20"/>
              </w:rPr>
              <w:t>Devotional lullaby sung to Jagannath accompanied by cymbals before the temple doors are locked.</w:t>
            </w:r>
          </w:p>
        </w:tc>
      </w:tr>
      <w:tr>
        <w:tc>
          <w:tcPr>
            <w:tcW w:type="dxa" w:w="2160"/>
            <w:shd w:fill="F9F6F0"/>
            <w:tcMar>
              <w:top w:w="100" w:type="dxa"/>
              <w:bottom w:w="100" w:type="dxa"/>
              <w:left w:w="140" w:type="dxa"/>
              <w:right w:w="140" w:type="dxa"/>
            </w:tcMar>
          </w:tcPr>
          <w:p>
            <w:pPr>
              <w:jc w:val="left"/>
            </w:pPr>
            <w:r>
              <w:rPr>
                <w:rFonts w:ascii="Calibri" w:hAnsi="Calibri"/>
                <w:color w:val="212529"/>
                <w:sz w:val="20"/>
              </w:rPr>
              <w:t>Kirtan &amp; Sankirtana</w:t>
            </w:r>
          </w:p>
        </w:tc>
        <w:tc>
          <w:tcPr>
            <w:tcW w:type="dxa" w:w="3312"/>
            <w:shd w:fill="F9F6F0"/>
            <w:tcMar>
              <w:top w:w="100" w:type="dxa"/>
              <w:bottom w:w="100" w:type="dxa"/>
              <w:left w:w="140" w:type="dxa"/>
              <w:right w:w="140" w:type="dxa"/>
            </w:tcMar>
          </w:tcPr>
          <w:p>
            <w:pPr>
              <w:jc w:val="left"/>
            </w:pPr>
            <w:r>
              <w:rPr>
                <w:rFonts w:ascii="Calibri" w:hAnsi="Calibri"/>
                <w:color w:val="212529"/>
                <w:sz w:val="20"/>
              </w:rPr>
              <w:t>Harinama Kirtan using Mridanga and Karatalas</w:t>
            </w:r>
          </w:p>
        </w:tc>
        <w:tc>
          <w:tcPr>
            <w:tcW w:type="dxa" w:w="3888"/>
            <w:shd w:fill="F9F6F0"/>
            <w:tcMar>
              <w:top w:w="100" w:type="dxa"/>
              <w:bottom w:w="100" w:type="dxa"/>
              <w:left w:w="140" w:type="dxa"/>
              <w:right w:w="140" w:type="dxa"/>
            </w:tcMar>
          </w:tcPr>
          <w:p>
            <w:pPr>
              <w:jc w:val="left"/>
            </w:pPr>
            <w:r>
              <w:rPr>
                <w:rFonts w:ascii="Calibri" w:hAnsi="Calibri"/>
                <w:color w:val="212529"/>
                <w:sz w:val="20"/>
              </w:rPr>
              <w:t>Vibrant community congregational singing popularized across Puri by Chaitanya Mahaprabhu.</w:t>
            </w:r>
          </w:p>
        </w:tc>
      </w:tr>
    </w:tbl>
    <w:p>
      <w:pPr>
        <w:spacing w:after="120"/>
      </w:pPr>
    </w:p>
    <w:p>
      <w:pPr>
        <w:keepNext/>
        <w:spacing w:before="320" w:after="120"/>
      </w:pPr>
      <w:r>
        <w:rPr>
          <w:rFonts w:ascii="Georgia" w:hAnsi="Georgia"/>
          <w:b/>
          <w:color w:val="8B1E0F"/>
          <w:sz w:val="30"/>
        </w:rPr>
        <w:t>Document References &amp; Sources</w:t>
      </w:r>
    </w:p>
    <w:tbl>
      <w:tblPr>
        <w:tblW w:type="auto" w:w="0"/>
        <w:jc w:val="center"/>
        <w:tblLayout w:type="fixed"/>
        <w:tblLook w:firstColumn="1" w:firstRow="1" w:lastColumn="0" w:lastRow="0" w:noHBand="0" w:noVBand="1" w:val="04A0"/>
        <w:tblBorders>
          <w:top w:val="single" w:sz="4" w:space="0" w:color="D1C7B7"/>
          <w:bottom w:val="single" w:sz="4" w:space="0" w:color="D1C7B7"/>
          <w:left w:val="none"/>
          <w:right w:val="none"/>
          <w:insideH w:val="single" w:sz="4" w:space="0" w:color="D1C7B7"/>
          <w:insideV w:val="none"/>
        </w:tblBorders>
      </w:tblPr>
      <w:tblGrid>
        <w:gridCol w:w="1872"/>
        <w:gridCol w:w="1872"/>
        <w:gridCol w:w="1872"/>
        <w:gridCol w:w="1872"/>
        <w:gridCol w:w="1872"/>
      </w:tblGrid>
      <w:tr>
        <w:tc>
          <w:tcPr>
            <w:tcW w:type="dxa" w:w="1296"/>
            <w:shd w:fill="8B1E0F"/>
            <w:tcMar>
              <w:top w:w="120" w:type="dxa"/>
              <w:bottom w:w="120" w:type="dxa"/>
              <w:left w:w="140" w:type="dxa"/>
              <w:right w:w="140" w:type="dxa"/>
            </w:tcMar>
          </w:tcPr>
          <w:p>
            <w:pPr>
              <w:jc w:val="left"/>
            </w:pPr>
            <w:r>
              <w:rPr>
                <w:rFonts w:ascii="Calibri" w:hAnsi="Calibri"/>
                <w:b/>
                <w:color w:val="FFFFFF"/>
                <w:sz w:val="20"/>
              </w:rPr>
              <w:t>Source ID</w:t>
            </w:r>
          </w:p>
        </w:tc>
        <w:tc>
          <w:tcPr>
            <w:tcW w:type="dxa" w:w="2016"/>
            <w:shd w:fill="8B1E0F"/>
            <w:tcMar>
              <w:top w:w="120" w:type="dxa"/>
              <w:bottom w:w="120" w:type="dxa"/>
              <w:left w:w="140" w:type="dxa"/>
              <w:right w:w="140" w:type="dxa"/>
            </w:tcMar>
          </w:tcPr>
          <w:p>
            <w:pPr>
              <w:jc w:val="left"/>
            </w:pPr>
            <w:r>
              <w:rPr>
                <w:rFonts w:ascii="Calibri" w:hAnsi="Calibri"/>
                <w:b/>
                <w:color w:val="FFFFFF"/>
                <w:sz w:val="20"/>
              </w:rPr>
              <w:t>Author / Institution</w:t>
            </w:r>
          </w:p>
        </w:tc>
        <w:tc>
          <w:tcPr>
            <w:tcW w:type="dxa" w:w="3024"/>
            <w:shd w:fill="8B1E0F"/>
            <w:tcMar>
              <w:top w:w="120" w:type="dxa"/>
              <w:bottom w:w="120" w:type="dxa"/>
              <w:left w:w="140" w:type="dxa"/>
              <w:right w:w="140" w:type="dxa"/>
            </w:tcMar>
          </w:tcPr>
          <w:p>
            <w:pPr>
              <w:jc w:val="left"/>
            </w:pPr>
            <w:r>
              <w:rPr>
                <w:rFonts w:ascii="Calibri" w:hAnsi="Calibri"/>
                <w:b/>
                <w:color w:val="FFFFFF"/>
                <w:sz w:val="20"/>
              </w:rPr>
              <w:t>Title &amp; Publication</w:t>
            </w:r>
          </w:p>
        </w:tc>
        <w:tc>
          <w:tcPr>
            <w:tcW w:type="dxa" w:w="1584"/>
            <w:shd w:fill="8B1E0F"/>
            <w:tcMar>
              <w:top w:w="120" w:type="dxa"/>
              <w:bottom w:w="120" w:type="dxa"/>
              <w:left w:w="140" w:type="dxa"/>
              <w:right w:w="140" w:type="dxa"/>
            </w:tcMar>
          </w:tcPr>
          <w:p>
            <w:pPr>
              <w:jc w:val="left"/>
            </w:pPr>
            <w:r>
              <w:rPr>
                <w:rFonts w:ascii="Calibri" w:hAnsi="Calibri"/>
                <w:b/>
                <w:color w:val="FFFFFF"/>
                <w:sz w:val="20"/>
              </w:rPr>
              <w:t>Type &amp; Tier</w:t>
            </w:r>
          </w:p>
        </w:tc>
        <w:tc>
          <w:tcPr>
            <w:tcW w:type="dxa" w:w="1440"/>
            <w:shd w:fill="8B1E0F"/>
            <w:tcMar>
              <w:top w:w="120" w:type="dxa"/>
              <w:bottom w:w="120" w:type="dxa"/>
              <w:left w:w="140" w:type="dxa"/>
              <w:right w:w="140" w:type="dxa"/>
            </w:tcMar>
          </w:tcPr>
          <w:p>
            <w:pPr>
              <w:jc w:val="left"/>
            </w:pPr>
            <w:r>
              <w:rPr>
                <w:rFonts w:ascii="Calibri" w:hAnsi="Calibri"/>
                <w:b/>
                <w:color w:val="FFFFFF"/>
                <w:sz w:val="20"/>
              </w:rPr>
              <w:t>URL / Accession</w:t>
            </w:r>
          </w:p>
        </w:tc>
      </w:tr>
      <w:tr>
        <w:tc>
          <w:tcPr>
            <w:tcW w:type="dxa" w:w="1296"/>
            <w:shd w:fill="FFFFFF"/>
            <w:tcMar>
              <w:top w:w="100" w:type="dxa"/>
              <w:bottom w:w="100" w:type="dxa"/>
              <w:left w:w="140" w:type="dxa"/>
              <w:right w:w="140" w:type="dxa"/>
            </w:tcMar>
          </w:tcPr>
          <w:p>
            <w:pPr>
              <w:jc w:val="left"/>
            </w:pPr>
            <w:r>
              <w:rPr>
                <w:rFonts w:ascii="Calibri" w:hAnsi="Calibri"/>
                <w:color w:val="212529"/>
                <w:sz w:val="20"/>
              </w:rPr>
              <w:t>PUR-S002</w:t>
            </w:r>
          </w:p>
        </w:tc>
        <w:tc>
          <w:tcPr>
            <w:tcW w:type="dxa" w:w="2016"/>
            <w:shd w:fill="FFFFFF"/>
            <w:tcMar>
              <w:top w:w="100" w:type="dxa"/>
              <w:bottom w:w="100" w:type="dxa"/>
              <w:left w:w="140" w:type="dxa"/>
              <w:right w:w="140" w:type="dxa"/>
            </w:tcMar>
          </w:tcPr>
          <w:p>
            <w:pPr>
              <w:jc w:val="left"/>
            </w:pPr>
            <w:r>
              <w:rPr>
                <w:rFonts w:ascii="Calibri" w:hAnsi="Calibri"/>
                <w:color w:val="212529"/>
                <w:sz w:val="20"/>
              </w:rPr>
              <w:t>Shree Jagannath Temple Administration (SJTA)</w:t>
            </w:r>
          </w:p>
        </w:tc>
        <w:tc>
          <w:tcPr>
            <w:tcW w:type="dxa" w:w="3024"/>
            <w:shd w:fill="FFFFFF"/>
            <w:tcMar>
              <w:top w:w="100" w:type="dxa"/>
              <w:bottom w:w="100" w:type="dxa"/>
              <w:left w:w="140" w:type="dxa"/>
              <w:right w:w="140" w:type="dxa"/>
            </w:tcMar>
          </w:tcPr>
          <w:p>
            <w:pPr>
              <w:jc w:val="left"/>
            </w:pPr>
            <w:r>
              <w:rPr>
                <w:rFonts w:ascii="Calibri" w:hAnsi="Calibri"/>
                <w:color w:val="212529"/>
                <w:sz w:val="20"/>
              </w:rPr>
              <w:t>Record of Rights (RoR) &amp; Sevayat Nijoga Niti Guidelines of Shri Jagannath Temple</w:t>
            </w:r>
          </w:p>
        </w:tc>
        <w:tc>
          <w:tcPr>
            <w:tcW w:type="dxa" w:w="1584"/>
            <w:shd w:fill="FFFFFF"/>
            <w:tcMar>
              <w:top w:w="100" w:type="dxa"/>
              <w:bottom w:w="100" w:type="dxa"/>
              <w:left w:w="140" w:type="dxa"/>
              <w:right w:w="140" w:type="dxa"/>
            </w:tcMar>
          </w:tcPr>
          <w:p>
            <w:pPr>
              <w:jc w:val="left"/>
            </w:pPr>
            <w:r>
              <w:rPr>
                <w:rFonts w:ascii="Calibri" w:hAnsi="Calibri"/>
                <w:color w:val="212529"/>
                <w:sz w:val="20"/>
              </w:rPr>
              <w:t>Statutory Temple Record (Tier 1)</w:t>
            </w:r>
          </w:p>
        </w:tc>
        <w:tc>
          <w:tcPr>
            <w:tcW w:type="dxa" w:w="1440"/>
            <w:shd w:fill="FFFFFF"/>
            <w:tcMar>
              <w:top w:w="100" w:type="dxa"/>
              <w:bottom w:w="100" w:type="dxa"/>
              <w:left w:w="140" w:type="dxa"/>
              <w:right w:w="140" w:type="dxa"/>
            </w:tcMar>
          </w:tcPr>
          <w:p>
            <w:pPr>
              <w:jc w:val="left"/>
            </w:pPr>
            <w:r>
              <w:rPr>
                <w:rFonts w:ascii="Calibri" w:hAnsi="Calibri"/>
                <w:color w:val="212529"/>
                <w:sz w:val="20"/>
              </w:rPr>
              <w:t>https://shreejagannatha.in</w:t>
            </w:r>
          </w:p>
        </w:tc>
      </w:tr>
      <w:tr>
        <w:tc>
          <w:tcPr>
            <w:tcW w:type="dxa" w:w="1296"/>
            <w:shd w:fill="F9F6F0"/>
            <w:tcMar>
              <w:top w:w="100" w:type="dxa"/>
              <w:bottom w:w="100" w:type="dxa"/>
              <w:left w:w="140" w:type="dxa"/>
              <w:right w:w="140" w:type="dxa"/>
            </w:tcMar>
          </w:tcPr>
          <w:p>
            <w:pPr>
              <w:jc w:val="left"/>
            </w:pPr>
            <w:r>
              <w:rPr>
                <w:rFonts w:ascii="Calibri" w:hAnsi="Calibri"/>
                <w:color w:val="212529"/>
                <w:sz w:val="20"/>
              </w:rPr>
              <w:t>PUR-S003</w:t>
            </w:r>
          </w:p>
        </w:tc>
        <w:tc>
          <w:tcPr>
            <w:tcW w:type="dxa" w:w="2016"/>
            <w:shd w:fill="F9F6F0"/>
            <w:tcMar>
              <w:top w:w="100" w:type="dxa"/>
              <w:bottom w:w="100" w:type="dxa"/>
              <w:left w:w="140" w:type="dxa"/>
              <w:right w:w="140" w:type="dxa"/>
            </w:tcMar>
          </w:tcPr>
          <w:p>
            <w:pPr>
              <w:jc w:val="left"/>
            </w:pPr>
            <w:r>
              <w:rPr>
                <w:rFonts w:ascii="Calibri" w:hAnsi="Calibri"/>
                <w:color w:val="212529"/>
                <w:sz w:val="20"/>
              </w:rPr>
              <w:t>Government of Odisha</w:t>
            </w:r>
          </w:p>
        </w:tc>
        <w:tc>
          <w:tcPr>
            <w:tcW w:type="dxa" w:w="3024"/>
            <w:shd w:fill="F9F6F0"/>
            <w:tcMar>
              <w:top w:w="100" w:type="dxa"/>
              <w:bottom w:w="100" w:type="dxa"/>
              <w:left w:w="140" w:type="dxa"/>
              <w:right w:w="140" w:type="dxa"/>
            </w:tcMar>
          </w:tcPr>
          <w:p>
            <w:pPr>
              <w:jc w:val="left"/>
            </w:pPr>
            <w:r>
              <w:rPr>
                <w:rFonts w:ascii="Calibri" w:hAnsi="Calibri"/>
                <w:color w:val="212529"/>
                <w:sz w:val="20"/>
              </w:rPr>
              <w:t>Odisha Cultural Heritage Gazetteer: Puri District Volume &amp; Pilgrimage Circuit</w:t>
            </w:r>
          </w:p>
        </w:tc>
        <w:tc>
          <w:tcPr>
            <w:tcW w:type="dxa" w:w="1584"/>
            <w:shd w:fill="F9F6F0"/>
            <w:tcMar>
              <w:top w:w="100" w:type="dxa"/>
              <w:bottom w:w="100" w:type="dxa"/>
              <w:left w:w="140" w:type="dxa"/>
              <w:right w:w="140" w:type="dxa"/>
            </w:tcMar>
          </w:tcPr>
          <w:p>
            <w:pPr>
              <w:jc w:val="left"/>
            </w:pPr>
            <w:r>
              <w:rPr>
                <w:rFonts w:ascii="Calibri" w:hAnsi="Calibri"/>
                <w:color w:val="212529"/>
                <w:sz w:val="20"/>
              </w:rPr>
              <w:t>Government Gazetteer (Tier 1)</w:t>
            </w:r>
          </w:p>
        </w:tc>
        <w:tc>
          <w:tcPr>
            <w:tcW w:type="dxa" w:w="1440"/>
            <w:shd w:fill="F9F6F0"/>
            <w:tcMar>
              <w:top w:w="100" w:type="dxa"/>
              <w:bottom w:w="100" w:type="dxa"/>
              <w:left w:w="140" w:type="dxa"/>
              <w:right w:w="140" w:type="dxa"/>
            </w:tcMar>
          </w:tcPr>
          <w:p>
            <w:pPr>
              <w:jc w:val="left"/>
            </w:pPr>
            <w:r>
              <w:rPr>
                <w:rFonts w:ascii="Calibri" w:hAnsi="Calibri"/>
                <w:color w:val="212529"/>
                <w:sz w:val="20"/>
              </w:rPr>
              <w:t>https://odishatourism.gov.in</w:t>
            </w:r>
          </w:p>
        </w:tc>
      </w:tr>
      <w:tr>
        <w:tc>
          <w:tcPr>
            <w:tcW w:type="dxa" w:w="1296"/>
            <w:shd w:fill="FFFFFF"/>
            <w:tcMar>
              <w:top w:w="100" w:type="dxa"/>
              <w:bottom w:w="100" w:type="dxa"/>
              <w:left w:w="140" w:type="dxa"/>
              <w:right w:w="140" w:type="dxa"/>
            </w:tcMar>
          </w:tcPr>
          <w:p>
            <w:pPr>
              <w:jc w:val="left"/>
            </w:pPr>
            <w:r>
              <w:rPr>
                <w:rFonts w:ascii="Calibri" w:hAnsi="Calibri"/>
                <w:color w:val="212529"/>
                <w:sz w:val="20"/>
              </w:rPr>
              <w:t>PUR-S011</w:t>
            </w:r>
          </w:p>
        </w:tc>
        <w:tc>
          <w:tcPr>
            <w:tcW w:type="dxa" w:w="2016"/>
            <w:shd w:fill="FFFFFF"/>
            <w:tcMar>
              <w:top w:w="100" w:type="dxa"/>
              <w:bottom w:w="100" w:type="dxa"/>
              <w:left w:w="140" w:type="dxa"/>
              <w:right w:w="140" w:type="dxa"/>
            </w:tcMar>
          </w:tcPr>
          <w:p>
            <w:pPr>
              <w:jc w:val="left"/>
            </w:pPr>
            <w:r>
              <w:rPr>
                <w:rFonts w:ascii="Calibri" w:hAnsi="Calibri"/>
                <w:color w:val="212529"/>
                <w:sz w:val="20"/>
              </w:rPr>
              <w:t>Sangeet Natak Akademi</w:t>
            </w:r>
          </w:p>
        </w:tc>
        <w:tc>
          <w:tcPr>
            <w:tcW w:type="dxa" w:w="3024"/>
            <w:shd w:fill="FFFFFF"/>
            <w:tcMar>
              <w:top w:w="100" w:type="dxa"/>
              <w:bottom w:w="100" w:type="dxa"/>
              <w:left w:w="140" w:type="dxa"/>
              <w:right w:w="140" w:type="dxa"/>
            </w:tcMar>
          </w:tcPr>
          <w:p>
            <w:pPr>
              <w:jc w:val="left"/>
            </w:pPr>
            <w:r>
              <w:rPr>
                <w:rFonts w:ascii="Calibri" w:hAnsi="Calibri"/>
                <w:color w:val="212529"/>
                <w:sz w:val="20"/>
              </w:rPr>
              <w:t>Documentation of Classical Odissi Dance, Mahari Temple Traditions &amp; Gotipua Performance</w:t>
            </w:r>
          </w:p>
        </w:tc>
        <w:tc>
          <w:tcPr>
            <w:tcW w:type="dxa" w:w="1584"/>
            <w:shd w:fill="FFFFFF"/>
            <w:tcMar>
              <w:top w:w="100" w:type="dxa"/>
              <w:bottom w:w="100" w:type="dxa"/>
              <w:left w:w="140" w:type="dxa"/>
              <w:right w:w="140" w:type="dxa"/>
            </w:tcMar>
          </w:tcPr>
          <w:p>
            <w:pPr>
              <w:jc w:val="left"/>
            </w:pPr>
            <w:r>
              <w:rPr>
                <w:rFonts w:ascii="Calibri" w:hAnsi="Calibri"/>
                <w:color w:val="212529"/>
                <w:sz w:val="20"/>
              </w:rPr>
              <w:t>Institutional Archive (Tier 1)</w:t>
            </w:r>
          </w:p>
        </w:tc>
        <w:tc>
          <w:tcPr>
            <w:tcW w:type="dxa" w:w="1440"/>
            <w:shd w:fill="FFFFFF"/>
            <w:tcMar>
              <w:top w:w="100" w:type="dxa"/>
              <w:bottom w:w="100" w:type="dxa"/>
              <w:left w:w="140" w:type="dxa"/>
              <w:right w:w="140" w:type="dxa"/>
            </w:tcMar>
          </w:tcPr>
          <w:p>
            <w:pPr>
              <w:jc w:val="left"/>
            </w:pPr>
            <w:r>
              <w:rPr>
                <w:rFonts w:ascii="Calibri" w:hAnsi="Calibri"/>
                <w:color w:val="212529"/>
                <w:sz w:val="20"/>
              </w:rPr>
              <w:t>https://sangeetnatak.gov.in</w:t>
            </w:r>
          </w:p>
        </w:tc>
      </w:tr>
      <w:tr>
        <w:tc>
          <w:tcPr>
            <w:tcW w:type="dxa" w:w="1296"/>
            <w:shd w:fill="F9F6F0"/>
            <w:tcMar>
              <w:top w:w="100" w:type="dxa"/>
              <w:bottom w:w="100" w:type="dxa"/>
              <w:left w:w="140" w:type="dxa"/>
              <w:right w:w="140" w:type="dxa"/>
            </w:tcMar>
          </w:tcPr>
          <w:p>
            <w:pPr>
              <w:jc w:val="left"/>
            </w:pPr>
            <w:r>
              <w:rPr>
                <w:rFonts w:ascii="Calibri" w:hAnsi="Calibri"/>
                <w:color w:val="212529"/>
                <w:sz w:val="20"/>
              </w:rPr>
              <w:t>PUR-S018</w:t>
            </w:r>
          </w:p>
        </w:tc>
        <w:tc>
          <w:tcPr>
            <w:tcW w:type="dxa" w:w="2016"/>
            <w:shd w:fill="F9F6F0"/>
            <w:tcMar>
              <w:top w:w="100" w:type="dxa"/>
              <w:bottom w:w="100" w:type="dxa"/>
              <w:left w:w="140" w:type="dxa"/>
              <w:right w:w="140" w:type="dxa"/>
            </w:tcMar>
          </w:tcPr>
          <w:p>
            <w:pPr>
              <w:jc w:val="left"/>
            </w:pPr>
            <w:r>
              <w:rPr>
                <w:rFonts w:ascii="Calibri" w:hAnsi="Calibri"/>
                <w:color w:val="212529"/>
                <w:sz w:val="20"/>
              </w:rPr>
              <w:t>Gaudiya Mission / Bhaktivedanta Archives</w:t>
            </w:r>
          </w:p>
        </w:tc>
        <w:tc>
          <w:tcPr>
            <w:tcW w:type="dxa" w:w="3024"/>
            <w:shd w:fill="F9F6F0"/>
            <w:tcMar>
              <w:top w:w="100" w:type="dxa"/>
              <w:bottom w:w="100" w:type="dxa"/>
              <w:left w:w="140" w:type="dxa"/>
              <w:right w:w="140" w:type="dxa"/>
            </w:tcMar>
          </w:tcPr>
          <w:p>
            <w:pPr>
              <w:jc w:val="left"/>
            </w:pPr>
            <w:r>
              <w:rPr>
                <w:rFonts w:ascii="Calibri" w:hAnsi="Calibri"/>
                <w:color w:val="212529"/>
                <w:sz w:val="20"/>
              </w:rPr>
              <w:t>Sri Chaitanya Charitamrita (Antya-lila): Chaitanya in Nilachala-Puri</w:t>
            </w:r>
          </w:p>
        </w:tc>
        <w:tc>
          <w:tcPr>
            <w:tcW w:type="dxa" w:w="1584"/>
            <w:shd w:fill="F9F6F0"/>
            <w:tcMar>
              <w:top w:w="100" w:type="dxa"/>
              <w:bottom w:w="100" w:type="dxa"/>
              <w:left w:w="140" w:type="dxa"/>
              <w:right w:w="140" w:type="dxa"/>
            </w:tcMar>
          </w:tcPr>
          <w:p>
            <w:pPr>
              <w:jc w:val="left"/>
            </w:pPr>
            <w:r>
              <w:rPr>
                <w:rFonts w:ascii="Calibri" w:hAnsi="Calibri"/>
                <w:color w:val="212529"/>
                <w:sz w:val="20"/>
              </w:rPr>
              <w:t>Historical-Devotional Text (Tier 2)</w:t>
            </w:r>
          </w:p>
        </w:tc>
        <w:tc>
          <w:tcPr>
            <w:tcW w:type="dxa" w:w="1440"/>
            <w:shd w:fill="F9F6F0"/>
            <w:tcMar>
              <w:top w:w="100" w:type="dxa"/>
              <w:bottom w:w="100" w:type="dxa"/>
              <w:left w:w="140" w:type="dxa"/>
              <w:right w:w="140" w:type="dxa"/>
            </w:tcMar>
          </w:tcPr>
          <w:p>
            <w:pPr>
              <w:jc w:val="left"/>
            </w:pPr>
            <w:r>
              <w:rPr>
                <w:rFonts w:ascii="Calibri" w:hAnsi="Calibri"/>
                <w:color w:val="212529"/>
                <w:sz w:val="20"/>
              </w:rPr>
              <w:t>https://gaudiyamission.org</w:t>
            </w:r>
          </w:p>
        </w:tc>
      </w:tr>
    </w:tbl>
    <w:p>
      <w:pPr>
        <w:spacing w:after="120"/>
      </w:pP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6E78"/>
        <w:sz w:val="17"/>
      </w:rPr>
      <w:t>PURI CULTURAL KNOWLEDGE BASE | PERFORMING ARTS &amp; MUSIC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