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8B1E0F"/>
            <w:tcMar>
              <w:top w:w="200" w:type="dxa"/>
              <w:bottom w:w="200" w:type="dxa"/>
              <w:left w:w="240" w:type="dxa"/>
              <w:right w:w="240" w:type="dxa"/>
            </w:tcMar>
          </w:tcPr>
          <w:p>
            <w:pPr>
              <w:spacing w:after="80"/>
              <w:jc w:val="left"/>
            </w:pPr>
            <w:r>
              <w:rPr>
                <w:rFonts w:ascii="Calibri" w:hAnsi="Calibri"/>
                <w:b/>
                <w:color w:val="C58F27"/>
                <w:sz w:val="19"/>
              </w:rPr>
              <w:t>DOCUMENT 15 • DANCE &amp; PERFORMANCE TRADITIONS</w:t>
              <w:br/>
            </w:r>
            <w:r>
              <w:rPr>
                <w:rFonts w:ascii="Georgia" w:hAnsi="Georgia"/>
                <w:b/>
                <w:color w:val="FFFFFF"/>
                <w:sz w:val="36"/>
              </w:rPr>
              <w:t>Gotipua, Classical Odissi, &amp; Traditional Theatrical Arts</w:t>
            </w:r>
          </w:p>
          <w:p>
            <w:pPr>
              <w:spacing w:after="0"/>
            </w:pPr>
            <w:r>
              <w:rPr>
                <w:rFonts w:ascii="Calibri" w:hAnsi="Calibri"/>
                <w:i/>
                <w:color w:val="F0E6DC"/>
                <w:sz w:val="20"/>
              </w:rPr>
              <w:t>Puri Cultural Heritage Research Knowledge Base • Odisha, India</w:t>
            </w:r>
          </w:p>
        </w:tc>
      </w:tr>
    </w:tbl>
    <w:p>
      <w:pPr>
        <w:spacing w:after="200"/>
      </w:pPr>
    </w:p>
    <w:p>
      <w:pPr>
        <w:keepNext/>
        <w:spacing w:before="320" w:after="120"/>
      </w:pPr>
      <w:r>
        <w:rPr>
          <w:rFonts w:ascii="Georgia" w:hAnsi="Georgia"/>
          <w:b/>
          <w:color w:val="8B1E0F"/>
          <w:sz w:val="30"/>
        </w:rPr>
        <w:t>1. The Evolution of Odissi Dance: From Maharis to Global Stages</w:t>
      </w:r>
    </w:p>
    <w:p>
      <w:pPr>
        <w:spacing w:after="120" w:line="276" w:lineRule="auto"/>
      </w:pPr>
      <w:r>
        <w:rPr>
          <w:rFonts w:ascii="Calibri" w:hAnsi="Calibri"/>
          <w:i w:val="0"/>
          <w:color w:val="212529"/>
          <w:sz w:val="22"/>
        </w:rPr>
        <w:t>Odissi, one of India's eight classical dance forms, traces its archaeological origins to the 2nd century BCE friezes of the Udayagiri and Khandagiri caves and its living ritual lineage to the temple dancing girls (Maharis) of the Shree Jagannath Temple:</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3120"/>
        <w:gridCol w:w="3120"/>
        <w:gridCol w:w="3120"/>
      </w:tblGrid>
      <w:tr>
        <w:tc>
          <w:tcPr>
            <w:tcW w:type="dxa" w:w="2160"/>
            <w:shd w:fill="8B1E0F"/>
            <w:tcMar>
              <w:top w:w="120" w:type="dxa"/>
              <w:bottom w:w="120" w:type="dxa"/>
              <w:left w:w="140" w:type="dxa"/>
              <w:right w:w="140" w:type="dxa"/>
            </w:tcMar>
          </w:tcPr>
          <w:p>
            <w:pPr>
              <w:jc w:val="left"/>
            </w:pPr>
            <w:r>
              <w:rPr>
                <w:rFonts w:ascii="Calibri" w:hAnsi="Calibri"/>
                <w:b/>
                <w:color w:val="FFFFFF"/>
                <w:sz w:val="20"/>
              </w:rPr>
              <w:t>Tradition / Epoch</w:t>
            </w:r>
          </w:p>
        </w:tc>
        <w:tc>
          <w:tcPr>
            <w:tcW w:type="dxa" w:w="3312"/>
            <w:shd w:fill="8B1E0F"/>
            <w:tcMar>
              <w:top w:w="120" w:type="dxa"/>
              <w:bottom w:w="120" w:type="dxa"/>
              <w:left w:w="140" w:type="dxa"/>
              <w:right w:w="140" w:type="dxa"/>
            </w:tcMar>
          </w:tcPr>
          <w:p>
            <w:pPr>
              <w:jc w:val="left"/>
            </w:pPr>
            <w:r>
              <w:rPr>
                <w:rFonts w:ascii="Calibri" w:hAnsi="Calibri"/>
                <w:b/>
                <w:color w:val="FFFFFF"/>
                <w:sz w:val="20"/>
              </w:rPr>
              <w:t>Performers &amp; Characteristics</w:t>
            </w:r>
          </w:p>
        </w:tc>
        <w:tc>
          <w:tcPr>
            <w:tcW w:type="dxa" w:w="3888"/>
            <w:shd w:fill="8B1E0F"/>
            <w:tcMar>
              <w:top w:w="120" w:type="dxa"/>
              <w:bottom w:w="120" w:type="dxa"/>
              <w:left w:w="140" w:type="dxa"/>
              <w:right w:w="140" w:type="dxa"/>
            </w:tcMar>
          </w:tcPr>
          <w:p>
            <w:pPr>
              <w:jc w:val="left"/>
            </w:pPr>
            <w:r>
              <w:rPr>
                <w:rFonts w:ascii="Calibri" w:hAnsi="Calibri"/>
                <w:b/>
                <w:color w:val="FFFFFF"/>
                <w:sz w:val="20"/>
              </w:rPr>
              <w:t>Historical Trajectory &amp; 20th-Century Revival</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Mahari Temple Tradition (ମାହାରୀ)</w:t>
            </w:r>
          </w:p>
        </w:tc>
        <w:tc>
          <w:tcPr>
            <w:tcW w:type="dxa" w:w="3312"/>
            <w:shd w:fill="FFFFFF"/>
            <w:tcMar>
              <w:top w:w="100" w:type="dxa"/>
              <w:bottom w:w="100" w:type="dxa"/>
              <w:left w:w="140" w:type="dxa"/>
              <w:right w:w="140" w:type="dxa"/>
            </w:tcMar>
          </w:tcPr>
          <w:p>
            <w:pPr>
              <w:jc w:val="left"/>
            </w:pPr>
            <w:r>
              <w:rPr>
                <w:rFonts w:ascii="Calibri" w:hAnsi="Calibri"/>
                <w:color w:val="212529"/>
                <w:sz w:val="20"/>
              </w:rPr>
              <w:t>Consecrated female servitors of Jagannath; danced in the Natamandapa</w:t>
            </w:r>
          </w:p>
        </w:tc>
        <w:tc>
          <w:tcPr>
            <w:tcW w:type="dxa" w:w="3888"/>
            <w:shd w:fill="FFFFFF"/>
            <w:tcMar>
              <w:top w:w="100" w:type="dxa"/>
              <w:bottom w:w="100" w:type="dxa"/>
              <w:left w:w="140" w:type="dxa"/>
              <w:right w:w="140" w:type="dxa"/>
            </w:tcMar>
          </w:tcPr>
          <w:p>
            <w:pPr>
              <w:jc w:val="left"/>
            </w:pPr>
            <w:r>
              <w:rPr>
                <w:rFonts w:ascii="Calibri" w:hAnsi="Calibri"/>
                <w:color w:val="212529"/>
                <w:sz w:val="20"/>
              </w:rPr>
              <w:t>Strictly ritualistic; declined in the early 20th century; formally abolished with the end of the devadasi system.</w:t>
            </w:r>
          </w:p>
        </w:tc>
      </w:tr>
      <w:tr>
        <w:tc>
          <w:tcPr>
            <w:tcW w:type="dxa" w:w="2160"/>
            <w:shd w:fill="F9F6F0"/>
            <w:tcMar>
              <w:top w:w="100" w:type="dxa"/>
              <w:bottom w:w="100" w:type="dxa"/>
              <w:left w:w="140" w:type="dxa"/>
              <w:right w:w="140" w:type="dxa"/>
            </w:tcMar>
          </w:tcPr>
          <w:p>
            <w:pPr>
              <w:jc w:val="left"/>
            </w:pPr>
            <w:r>
              <w:rPr>
                <w:rFonts w:ascii="Calibri" w:hAnsi="Calibri"/>
                <w:color w:val="212529"/>
                <w:sz w:val="20"/>
              </w:rPr>
              <w:t>Gotipua Tradition (ଗୋଟିପୁଅ)</w:t>
            </w:r>
          </w:p>
        </w:tc>
        <w:tc>
          <w:tcPr>
            <w:tcW w:type="dxa" w:w="3312"/>
            <w:shd w:fill="F9F6F0"/>
            <w:tcMar>
              <w:top w:w="100" w:type="dxa"/>
              <w:bottom w:w="100" w:type="dxa"/>
              <w:left w:w="140" w:type="dxa"/>
              <w:right w:w="140" w:type="dxa"/>
            </w:tcMar>
          </w:tcPr>
          <w:p>
            <w:pPr>
              <w:jc w:val="left"/>
            </w:pPr>
            <w:r>
              <w:rPr>
                <w:rFonts w:ascii="Calibri" w:hAnsi="Calibri"/>
                <w:color w:val="212529"/>
                <w:sz w:val="20"/>
              </w:rPr>
              <w:t>Young boys (ages 6 to 14) dressed as female damsels; dynamic acrobatics (Bandha Nritya)</w:t>
            </w:r>
          </w:p>
        </w:tc>
        <w:tc>
          <w:tcPr>
            <w:tcW w:type="dxa" w:w="3888"/>
            <w:shd w:fill="F9F6F0"/>
            <w:tcMar>
              <w:top w:w="100" w:type="dxa"/>
              <w:bottom w:w="100" w:type="dxa"/>
              <w:left w:w="140" w:type="dxa"/>
              <w:right w:w="140" w:type="dxa"/>
            </w:tcMar>
          </w:tcPr>
          <w:p>
            <w:pPr>
              <w:jc w:val="left"/>
            </w:pPr>
            <w:r>
              <w:rPr>
                <w:rFonts w:ascii="Calibri" w:hAnsi="Calibri"/>
                <w:color w:val="212529"/>
                <w:sz w:val="20"/>
              </w:rPr>
              <w:t>Emerged in the 16th century with the patronage of Raja Ramachandra Deva and Akhadas; direct stylistic progenitor of modern Odissi.</w:t>
            </w:r>
          </w:p>
        </w:tc>
      </w:tr>
      <w:tr>
        <w:tc>
          <w:tcPr>
            <w:tcW w:type="dxa" w:w="2160"/>
            <w:shd w:fill="FFFFFF"/>
            <w:tcMar>
              <w:top w:w="100" w:type="dxa"/>
              <w:bottom w:w="100" w:type="dxa"/>
              <w:left w:w="140" w:type="dxa"/>
              <w:right w:w="140" w:type="dxa"/>
            </w:tcMar>
          </w:tcPr>
          <w:p>
            <w:pPr>
              <w:jc w:val="left"/>
            </w:pPr>
            <w:r>
              <w:rPr>
                <w:rFonts w:ascii="Calibri" w:hAnsi="Calibri"/>
                <w:color w:val="212529"/>
                <w:sz w:val="20"/>
              </w:rPr>
              <w:t>Classical Odissi Revival (1950s)</w:t>
            </w:r>
          </w:p>
        </w:tc>
        <w:tc>
          <w:tcPr>
            <w:tcW w:type="dxa" w:w="3312"/>
            <w:shd w:fill="FFFFFF"/>
            <w:tcMar>
              <w:top w:w="100" w:type="dxa"/>
              <w:bottom w:w="100" w:type="dxa"/>
              <w:left w:w="140" w:type="dxa"/>
              <w:right w:w="140" w:type="dxa"/>
            </w:tcMar>
          </w:tcPr>
          <w:p>
            <w:pPr>
              <w:jc w:val="left"/>
            </w:pPr>
            <w:r>
              <w:rPr>
                <w:rFonts w:ascii="Calibri" w:hAnsi="Calibri"/>
                <w:color w:val="212529"/>
                <w:sz w:val="20"/>
              </w:rPr>
              <w:t>Formalized solo classical repertoire based on Tribhangi (three-bend posture) and Chauka</w:t>
            </w:r>
          </w:p>
        </w:tc>
        <w:tc>
          <w:tcPr>
            <w:tcW w:type="dxa" w:w="3888"/>
            <w:shd w:fill="FFFFFF"/>
            <w:tcMar>
              <w:top w:w="100" w:type="dxa"/>
              <w:bottom w:w="100" w:type="dxa"/>
              <w:left w:w="140" w:type="dxa"/>
              <w:right w:w="140" w:type="dxa"/>
            </w:tcMar>
          </w:tcPr>
          <w:p>
            <w:pPr>
              <w:jc w:val="left"/>
            </w:pPr>
            <w:r>
              <w:rPr>
                <w:rFonts w:ascii="Calibri" w:hAnsi="Calibri"/>
                <w:color w:val="212529"/>
                <w:sz w:val="20"/>
              </w:rPr>
              <w:t>Revived by the Jayantika association and great gurus: Guru Kelucharan Mohapatra, Guru Pankaj Charan Das, and Guru Deba Prasad Das.</w:t>
            </w:r>
          </w:p>
        </w:tc>
      </w:tr>
    </w:tbl>
    <w:p>
      <w:pPr>
        <w:spacing w:after="120"/>
      </w:pPr>
    </w:p>
    <w:p>
      <w:pPr>
        <w:keepNext/>
        <w:spacing w:before="320" w:after="120"/>
      </w:pPr>
      <w:r>
        <w:rPr>
          <w:rFonts w:ascii="Georgia" w:hAnsi="Georgia"/>
          <w:b/>
          <w:color w:val="8B1E0F"/>
          <w:sz w:val="30"/>
        </w:rPr>
        <w:t>2. Traditional Folk Theatre: Pala and Daskathia</w:t>
      </w:r>
    </w:p>
    <w:p>
      <w:pPr>
        <w:spacing w:after="120" w:line="276" w:lineRule="auto"/>
      </w:pPr>
      <w:r>
        <w:rPr>
          <w:rFonts w:ascii="Calibri" w:hAnsi="Calibri"/>
          <w:i w:val="0"/>
          <w:color w:val="212529"/>
          <w:sz w:val="22"/>
        </w:rPr>
        <w:t>Beyond classical dance, Puri district preserves dynamic narrative theatrical traditions:</w:t>
      </w:r>
    </w:p>
    <w:p>
      <w:pPr>
        <w:pStyle w:val="ListBullet"/>
        <w:spacing w:after="60" w:line="276" w:lineRule="auto"/>
      </w:pPr>
      <w:r>
        <w:rPr>
          <w:rFonts w:ascii="Calibri" w:hAnsi="Calibri"/>
          <w:b/>
          <w:color w:val="2C3E50"/>
          <w:sz w:val="22"/>
        </w:rPr>
        <w:t xml:space="preserve">• </w:t>
      </w:r>
      <w:r>
        <w:rPr>
          <w:rFonts w:ascii="Calibri" w:hAnsi="Calibri"/>
          <w:color w:val="212529"/>
          <w:sz w:val="22"/>
        </w:rPr>
        <w:t>Pala (ପାଲା): A sophisticated performance by a troupe of 5-6 artists led by a Gayaka (lead singer) holding a Chamara (flywhisk) and cymbals, debating Sanskrit puranic texts, Odia poetry, and philosophy through dramatic dialogues and humor.</w:t>
      </w:r>
    </w:p>
    <w:p>
      <w:pPr>
        <w:pStyle w:val="ListBullet"/>
        <w:spacing w:after="60" w:line="276" w:lineRule="auto"/>
      </w:pPr>
      <w:r>
        <w:rPr>
          <w:rFonts w:ascii="Calibri" w:hAnsi="Calibri"/>
          <w:b/>
          <w:color w:val="2C3E50"/>
          <w:sz w:val="22"/>
        </w:rPr>
        <w:t xml:space="preserve">• </w:t>
      </w:r>
      <w:r>
        <w:rPr>
          <w:rFonts w:ascii="Calibri" w:hAnsi="Calibri"/>
          <w:color w:val="212529"/>
          <w:sz w:val="22"/>
        </w:rPr>
        <w:t>Daskathia (ଦାସକାଠିଆ): A dynamic two-person ballad performance where the performers click pairs of polished wooden castanets (Kathi), narrating religious myths and historical epics with rapid metrical verses.</w:t>
      </w:r>
    </w:p>
    <w:p>
      <w:pPr>
        <w:keepNext/>
        <w:spacing w:before="320" w:after="120"/>
      </w:pPr>
      <w:r>
        <w:rPr>
          <w:rFonts w:ascii="Georgia" w:hAnsi="Georgia"/>
          <w:b/>
          <w:color w:val="8B1E0F"/>
          <w:sz w:val="30"/>
        </w:rPr>
        <w:t>Document References &amp; Sources</w:t>
      </w:r>
    </w:p>
    <w:tbl>
      <w:tblPr>
        <w:tblW w:type="auto" w:w="0"/>
        <w:jc w:val="center"/>
        <w:tblLayout w:type="fixed"/>
        <w:tblLook w:firstColumn="1" w:firstRow="1" w:lastColumn="0" w:lastRow="0" w:noHBand="0" w:noVBand="1" w:val="04A0"/>
        <w:tblBorders>
          <w:top w:val="single" w:sz="4" w:space="0" w:color="D1C7B7"/>
          <w:bottom w:val="single" w:sz="4" w:space="0" w:color="D1C7B7"/>
          <w:left w:val="none"/>
          <w:right w:val="none"/>
          <w:insideH w:val="single" w:sz="4" w:space="0" w:color="D1C7B7"/>
          <w:insideV w:val="none"/>
        </w:tblBorders>
      </w:tblPr>
      <w:tblGrid>
        <w:gridCol w:w="1872"/>
        <w:gridCol w:w="1872"/>
        <w:gridCol w:w="1872"/>
        <w:gridCol w:w="1872"/>
        <w:gridCol w:w="1872"/>
      </w:tblGrid>
      <w:tr>
        <w:tc>
          <w:tcPr>
            <w:tcW w:type="dxa" w:w="1296"/>
            <w:shd w:fill="8B1E0F"/>
            <w:tcMar>
              <w:top w:w="120" w:type="dxa"/>
              <w:bottom w:w="120" w:type="dxa"/>
              <w:left w:w="140" w:type="dxa"/>
              <w:right w:w="140" w:type="dxa"/>
            </w:tcMar>
          </w:tcPr>
          <w:p>
            <w:pPr>
              <w:jc w:val="left"/>
            </w:pPr>
            <w:r>
              <w:rPr>
                <w:rFonts w:ascii="Calibri" w:hAnsi="Calibri"/>
                <w:b/>
                <w:color w:val="FFFFFF"/>
                <w:sz w:val="20"/>
              </w:rPr>
              <w:t>Source ID</w:t>
            </w:r>
          </w:p>
        </w:tc>
        <w:tc>
          <w:tcPr>
            <w:tcW w:type="dxa" w:w="2016"/>
            <w:shd w:fill="8B1E0F"/>
            <w:tcMar>
              <w:top w:w="120" w:type="dxa"/>
              <w:bottom w:w="120" w:type="dxa"/>
              <w:left w:w="140" w:type="dxa"/>
              <w:right w:w="140" w:type="dxa"/>
            </w:tcMar>
          </w:tcPr>
          <w:p>
            <w:pPr>
              <w:jc w:val="left"/>
            </w:pPr>
            <w:r>
              <w:rPr>
                <w:rFonts w:ascii="Calibri" w:hAnsi="Calibri"/>
                <w:b/>
                <w:color w:val="FFFFFF"/>
                <w:sz w:val="20"/>
              </w:rPr>
              <w:t>Author / Institution</w:t>
            </w:r>
          </w:p>
        </w:tc>
        <w:tc>
          <w:tcPr>
            <w:tcW w:type="dxa" w:w="3024"/>
            <w:shd w:fill="8B1E0F"/>
            <w:tcMar>
              <w:top w:w="120" w:type="dxa"/>
              <w:bottom w:w="120" w:type="dxa"/>
              <w:left w:w="140" w:type="dxa"/>
              <w:right w:w="140" w:type="dxa"/>
            </w:tcMar>
          </w:tcPr>
          <w:p>
            <w:pPr>
              <w:jc w:val="left"/>
            </w:pPr>
            <w:r>
              <w:rPr>
                <w:rFonts w:ascii="Calibri" w:hAnsi="Calibri"/>
                <w:b/>
                <w:color w:val="FFFFFF"/>
                <w:sz w:val="20"/>
              </w:rPr>
              <w:t>Title &amp; Publication</w:t>
            </w:r>
          </w:p>
        </w:tc>
        <w:tc>
          <w:tcPr>
            <w:tcW w:type="dxa" w:w="1584"/>
            <w:shd w:fill="8B1E0F"/>
            <w:tcMar>
              <w:top w:w="120" w:type="dxa"/>
              <w:bottom w:w="120" w:type="dxa"/>
              <w:left w:w="140" w:type="dxa"/>
              <w:right w:w="140" w:type="dxa"/>
            </w:tcMar>
          </w:tcPr>
          <w:p>
            <w:pPr>
              <w:jc w:val="left"/>
            </w:pPr>
            <w:r>
              <w:rPr>
                <w:rFonts w:ascii="Calibri" w:hAnsi="Calibri"/>
                <w:b/>
                <w:color w:val="FFFFFF"/>
                <w:sz w:val="20"/>
              </w:rPr>
              <w:t>Type &amp; Tier</w:t>
            </w:r>
          </w:p>
        </w:tc>
        <w:tc>
          <w:tcPr>
            <w:tcW w:type="dxa" w:w="1440"/>
            <w:shd w:fill="8B1E0F"/>
            <w:tcMar>
              <w:top w:w="120" w:type="dxa"/>
              <w:bottom w:w="120" w:type="dxa"/>
              <w:left w:w="140" w:type="dxa"/>
              <w:right w:w="140" w:type="dxa"/>
            </w:tcMar>
          </w:tcPr>
          <w:p>
            <w:pPr>
              <w:jc w:val="left"/>
            </w:pPr>
            <w:r>
              <w:rPr>
                <w:rFonts w:ascii="Calibri" w:hAnsi="Calibri"/>
                <w:b/>
                <w:color w:val="FFFFFF"/>
                <w:sz w:val="20"/>
              </w:rPr>
              <w:t>URL / Accession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PUR-S003</w:t>
            </w:r>
          </w:p>
        </w:tc>
        <w:tc>
          <w:tcPr>
            <w:tcW w:type="dxa" w:w="2016"/>
            <w:shd w:fill="FFFFFF"/>
            <w:tcMar>
              <w:top w:w="100" w:type="dxa"/>
              <w:bottom w:w="100" w:type="dxa"/>
              <w:left w:w="140" w:type="dxa"/>
              <w:right w:w="140" w:type="dxa"/>
            </w:tcMar>
          </w:tcPr>
          <w:p>
            <w:pPr>
              <w:jc w:val="left"/>
            </w:pPr>
            <w:r>
              <w:rPr>
                <w:rFonts w:ascii="Calibri" w:hAnsi="Calibri"/>
                <w:color w:val="212529"/>
                <w:sz w:val="20"/>
              </w:rPr>
              <w:t>Government of Odisha</w:t>
            </w:r>
          </w:p>
        </w:tc>
        <w:tc>
          <w:tcPr>
            <w:tcW w:type="dxa" w:w="3024"/>
            <w:shd w:fill="FFFFFF"/>
            <w:tcMar>
              <w:top w:w="100" w:type="dxa"/>
              <w:bottom w:w="100" w:type="dxa"/>
              <w:left w:w="140" w:type="dxa"/>
              <w:right w:w="140" w:type="dxa"/>
            </w:tcMar>
          </w:tcPr>
          <w:p>
            <w:pPr>
              <w:jc w:val="left"/>
            </w:pPr>
            <w:r>
              <w:rPr>
                <w:rFonts w:ascii="Calibri" w:hAnsi="Calibri"/>
                <w:color w:val="212529"/>
                <w:sz w:val="20"/>
              </w:rPr>
              <w:t>Odisha Cultural Heritage Gazetteer: Puri District Volume &amp; Pilgrimage Circuit</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Gazetteer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https://odishatourism.gov.in</w:t>
            </w:r>
          </w:p>
        </w:tc>
      </w:tr>
      <w:tr>
        <w:tc>
          <w:tcPr>
            <w:tcW w:type="dxa" w:w="1296"/>
            <w:shd w:fill="F9F6F0"/>
            <w:tcMar>
              <w:top w:w="100" w:type="dxa"/>
              <w:bottom w:w="100" w:type="dxa"/>
              <w:left w:w="140" w:type="dxa"/>
              <w:right w:w="140" w:type="dxa"/>
            </w:tcMar>
          </w:tcPr>
          <w:p>
            <w:pPr>
              <w:jc w:val="left"/>
            </w:pPr>
            <w:r>
              <w:rPr>
                <w:rFonts w:ascii="Calibri" w:hAnsi="Calibri"/>
                <w:color w:val="212529"/>
                <w:sz w:val="20"/>
              </w:rPr>
              <w:t>PUR-S011</w:t>
            </w:r>
          </w:p>
        </w:tc>
        <w:tc>
          <w:tcPr>
            <w:tcW w:type="dxa" w:w="2016"/>
            <w:shd w:fill="F9F6F0"/>
            <w:tcMar>
              <w:top w:w="100" w:type="dxa"/>
              <w:bottom w:w="100" w:type="dxa"/>
              <w:left w:w="140" w:type="dxa"/>
              <w:right w:w="140" w:type="dxa"/>
            </w:tcMar>
          </w:tcPr>
          <w:p>
            <w:pPr>
              <w:jc w:val="left"/>
            </w:pPr>
            <w:r>
              <w:rPr>
                <w:rFonts w:ascii="Calibri" w:hAnsi="Calibri"/>
                <w:color w:val="212529"/>
                <w:sz w:val="20"/>
              </w:rPr>
              <w:t>Sangeet Natak Akademi</w:t>
            </w:r>
          </w:p>
        </w:tc>
        <w:tc>
          <w:tcPr>
            <w:tcW w:type="dxa" w:w="3024"/>
            <w:shd w:fill="F9F6F0"/>
            <w:tcMar>
              <w:top w:w="100" w:type="dxa"/>
              <w:bottom w:w="100" w:type="dxa"/>
              <w:left w:w="140" w:type="dxa"/>
              <w:right w:w="140" w:type="dxa"/>
            </w:tcMar>
          </w:tcPr>
          <w:p>
            <w:pPr>
              <w:jc w:val="left"/>
            </w:pPr>
            <w:r>
              <w:rPr>
                <w:rFonts w:ascii="Calibri" w:hAnsi="Calibri"/>
                <w:color w:val="212529"/>
                <w:sz w:val="20"/>
              </w:rPr>
              <w:t>Documentation of Classical Odissi Dance, Mahari Temple Traditions &amp; Gotipua Performance</w:t>
            </w:r>
          </w:p>
        </w:tc>
        <w:tc>
          <w:tcPr>
            <w:tcW w:type="dxa" w:w="1584"/>
            <w:shd w:fill="F9F6F0"/>
            <w:tcMar>
              <w:top w:w="100" w:type="dxa"/>
              <w:bottom w:w="100" w:type="dxa"/>
              <w:left w:w="140" w:type="dxa"/>
              <w:right w:w="140" w:type="dxa"/>
            </w:tcMar>
          </w:tcPr>
          <w:p>
            <w:pPr>
              <w:jc w:val="left"/>
            </w:pPr>
            <w:r>
              <w:rPr>
                <w:rFonts w:ascii="Calibri" w:hAnsi="Calibri"/>
                <w:color w:val="212529"/>
                <w:sz w:val="20"/>
              </w:rPr>
              <w:t>Institutional Archive (Tier 1)</w:t>
            </w:r>
          </w:p>
        </w:tc>
        <w:tc>
          <w:tcPr>
            <w:tcW w:type="dxa" w:w="1440"/>
            <w:shd w:fill="F9F6F0"/>
            <w:tcMar>
              <w:top w:w="100" w:type="dxa"/>
              <w:bottom w:w="100" w:type="dxa"/>
              <w:left w:w="140" w:type="dxa"/>
              <w:right w:w="140" w:type="dxa"/>
            </w:tcMar>
          </w:tcPr>
          <w:p>
            <w:pPr>
              <w:jc w:val="left"/>
            </w:pPr>
            <w:r>
              <w:rPr>
                <w:rFonts w:ascii="Calibri" w:hAnsi="Calibri"/>
                <w:color w:val="212529"/>
                <w:sz w:val="20"/>
              </w:rPr>
              <w:t>https://sangeetnatak.gov.in</w:t>
            </w:r>
          </w:p>
        </w:tc>
      </w:tr>
      <w:tr>
        <w:tc>
          <w:tcPr>
            <w:tcW w:type="dxa" w:w="1296"/>
            <w:shd w:fill="FFFFFF"/>
            <w:tcMar>
              <w:top w:w="100" w:type="dxa"/>
              <w:bottom w:w="100" w:type="dxa"/>
              <w:left w:w="140" w:type="dxa"/>
              <w:right w:w="140" w:type="dxa"/>
            </w:tcMar>
          </w:tcPr>
          <w:p>
            <w:pPr>
              <w:jc w:val="left"/>
            </w:pPr>
            <w:r>
              <w:rPr>
                <w:rFonts w:ascii="Calibri" w:hAnsi="Calibri"/>
                <w:color w:val="212529"/>
                <w:sz w:val="20"/>
              </w:rPr>
              <w:t>PUR-S014</w:t>
            </w:r>
          </w:p>
        </w:tc>
        <w:tc>
          <w:tcPr>
            <w:tcW w:type="dxa" w:w="2016"/>
            <w:shd w:fill="FFFFFF"/>
            <w:tcMar>
              <w:top w:w="100" w:type="dxa"/>
              <w:bottom w:w="100" w:type="dxa"/>
              <w:left w:w="140" w:type="dxa"/>
              <w:right w:w="140" w:type="dxa"/>
            </w:tcMar>
          </w:tcPr>
          <w:p>
            <w:pPr>
              <w:jc w:val="left"/>
            </w:pPr>
            <w:r>
              <w:rPr>
                <w:rFonts w:ascii="Calibri" w:hAnsi="Calibri"/>
                <w:color w:val="212529"/>
                <w:sz w:val="20"/>
              </w:rPr>
              <w:t>Development Commissioner (Handicrafts)</w:t>
            </w:r>
          </w:p>
        </w:tc>
        <w:tc>
          <w:tcPr>
            <w:tcW w:type="dxa" w:w="3024"/>
            <w:shd w:fill="FFFFFF"/>
            <w:tcMar>
              <w:top w:w="100" w:type="dxa"/>
              <w:bottom w:w="100" w:type="dxa"/>
              <w:left w:w="140" w:type="dxa"/>
              <w:right w:w="140" w:type="dxa"/>
            </w:tcMar>
          </w:tcPr>
          <w:p>
            <w:pPr>
              <w:jc w:val="left"/>
            </w:pPr>
            <w:r>
              <w:rPr>
                <w:rFonts w:ascii="Calibri" w:hAnsi="Calibri"/>
                <w:color w:val="212529"/>
                <w:sz w:val="20"/>
              </w:rPr>
              <w:t>Comprehensive Artisan Diagnostic Study: Raghurajpur Craft Heritage Village</w:t>
            </w:r>
          </w:p>
        </w:tc>
        <w:tc>
          <w:tcPr>
            <w:tcW w:type="dxa" w:w="1584"/>
            <w:shd w:fill="FFFFFF"/>
            <w:tcMar>
              <w:top w:w="100" w:type="dxa"/>
              <w:bottom w:w="100" w:type="dxa"/>
              <w:left w:w="140" w:type="dxa"/>
              <w:right w:w="140" w:type="dxa"/>
            </w:tcMar>
          </w:tcPr>
          <w:p>
            <w:pPr>
              <w:jc w:val="left"/>
            </w:pPr>
            <w:r>
              <w:rPr>
                <w:rFonts w:ascii="Calibri" w:hAnsi="Calibri"/>
                <w:color w:val="212529"/>
                <w:sz w:val="20"/>
              </w:rPr>
              <w:t>Government Diagnostic Study (Tier 1)</w:t>
            </w:r>
          </w:p>
        </w:tc>
        <w:tc>
          <w:tcPr>
            <w:tcW w:type="dxa" w:w="1440"/>
            <w:shd w:fill="FFFFFF"/>
            <w:tcMar>
              <w:top w:w="100" w:type="dxa"/>
              <w:bottom w:w="100" w:type="dxa"/>
              <w:left w:w="140" w:type="dxa"/>
              <w:right w:w="140" w:type="dxa"/>
            </w:tcMar>
          </w:tcPr>
          <w:p>
            <w:pPr>
              <w:jc w:val="left"/>
            </w:pPr>
            <w:r>
              <w:rPr>
                <w:rFonts w:ascii="Calibri" w:hAnsi="Calibri"/>
                <w:color w:val="212529"/>
                <w:sz w:val="20"/>
              </w:rPr>
              <w:t>https://handicrafts.nic.in</w:t>
            </w:r>
          </w:p>
        </w:tc>
      </w:tr>
    </w:tbl>
    <w:p>
      <w:pPr>
        <w:spacing w:after="120"/>
      </w:pP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E78"/>
        <w:sz w:val="17"/>
      </w:rPr>
      <w:t>PURI CULTURAL KNOWLEDGE BASE | DANCE &amp; PERFORMANCE TRADITIONS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