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17 • FOLKLORE &amp; MYTHOLOGICAL LORE</w:t>
              <w:br/>
            </w:r>
            <w:r>
              <w:rPr>
                <w:rFonts w:ascii="Georgia" w:hAnsi="Georgia"/>
                <w:b/>
                <w:color w:val="FFFFFF"/>
                <w:sz w:val="36"/>
              </w:rPr>
              <w:t>Folklore, Myths, &amp; Sacred Legends of Puri (Katha &amp; Mahatmya)</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Legendary Origin of Jagannath (Indradyumna Mahatmya)</w:t>
      </w:r>
    </w:p>
    <w:p>
      <w:pPr>
        <w:spacing w:after="120" w:line="276" w:lineRule="auto"/>
      </w:pPr>
      <w:r>
        <w:rPr>
          <w:rFonts w:ascii="Calibri" w:hAnsi="Calibri"/>
          <w:i w:val="0"/>
          <w:color w:val="212529"/>
          <w:sz w:val="22"/>
        </w:rPr>
        <w:t>Narrated in the Skanda Purana and Brahma Purana, the legendary origin recounts King Indradyumna of Avanti, who dispatched his Brahmin priest Vidyapati to locate the supreme form of Vishnu (Nilamadhava). Guided to the deep forests of Nilachala, Vidyapati discovered that the tribal Sabara chieftain Viswavasu worshipped Nilamadhava in absolute secrecy in a hidden cave:</w:t>
      </w:r>
    </w:p>
    <w:p>
      <w:pPr>
        <w:pStyle w:val="ListBullet"/>
        <w:spacing w:after="60" w:line="276" w:lineRule="auto"/>
      </w:pPr>
      <w:r>
        <w:rPr>
          <w:rFonts w:ascii="Calibri" w:hAnsi="Calibri"/>
          <w:b/>
          <w:color w:val="2C3E50"/>
          <w:sz w:val="22"/>
        </w:rPr>
        <w:t xml:space="preserve">[MYTHOLOGICAL MOTIF] </w:t>
      </w:r>
      <w:r>
        <w:rPr>
          <w:rFonts w:ascii="Calibri" w:hAnsi="Calibri"/>
          <w:color w:val="212529"/>
          <w:sz w:val="22"/>
        </w:rPr>
        <w:t>The Mustard Seed Trail: Blindfolded by Viswavasu, Vidyapati secretly dropped mustard seeds along the path, which sprouted during the monsoons, allowing him to relocate the cave.</w:t>
      </w:r>
    </w:p>
    <w:p>
      <w:pPr>
        <w:pStyle w:val="ListBullet"/>
        <w:spacing w:after="60" w:line="276" w:lineRule="auto"/>
      </w:pPr>
      <w:r>
        <w:rPr>
          <w:rFonts w:ascii="Calibri" w:hAnsi="Calibri"/>
          <w:b/>
          <w:color w:val="2C3E50"/>
          <w:sz w:val="22"/>
        </w:rPr>
        <w:t xml:space="preserve">[SACRED LEGEND] </w:t>
      </w:r>
      <w:r>
        <w:rPr>
          <w:rFonts w:ascii="Calibri" w:hAnsi="Calibri"/>
          <w:color w:val="212529"/>
          <w:sz w:val="22"/>
        </w:rPr>
        <w:t>Disappearance of Nilamadhava &amp; The Floating Log: Nilamadhava vanished, commanding Indradyumna in a dream to construct a temple and await a miraculous divine log (Daru) floating ashore at Banki Muhana (Puri beach).</w:t>
      </w:r>
    </w:p>
    <w:p>
      <w:pPr>
        <w:pStyle w:val="ListBullet"/>
        <w:spacing w:after="60" w:line="276" w:lineRule="auto"/>
      </w:pPr>
      <w:r>
        <w:rPr>
          <w:rFonts w:ascii="Calibri" w:hAnsi="Calibri"/>
          <w:b/>
          <w:color w:val="2C3E50"/>
          <w:sz w:val="22"/>
        </w:rPr>
        <w:t xml:space="preserve">[FOLKLORIC NARRATIVE] </w:t>
      </w:r>
      <w:r>
        <w:rPr>
          <w:rFonts w:ascii="Calibri" w:hAnsi="Calibri"/>
          <w:color w:val="212529"/>
          <w:sz w:val="22"/>
        </w:rPr>
        <w:t>Ananta Maharana (Viswakarma in Disguise): The divine architect arrived as an old carpenter, agreeing to carve the deities inside the locked temple under the condition that no one open the doors for 21 days. Overcome by anxiety, Queen Gundicha persuaded the king to unlock the doors after 14 days of silence, finding three unfinished forms with large, round eyes and armless stumps.</w:t>
      </w:r>
    </w:p>
    <w:p>
      <w:pPr>
        <w:keepNext/>
        <w:spacing w:before="320" w:after="120"/>
      </w:pPr>
      <w:r>
        <w:rPr>
          <w:rFonts w:ascii="Georgia" w:hAnsi="Georgia"/>
          <w:b/>
          <w:color w:val="8B1E0F"/>
          <w:sz w:val="30"/>
        </w:rPr>
        <w:t>2. The Kanchi-Kaveri Expedition &amp; Gopa-Gopala (Bada Danda Legend)</w:t>
      </w:r>
    </w:p>
    <w:p>
      <w:pPr>
        <w:spacing w:after="120" w:line="276" w:lineRule="auto"/>
      </w:pPr>
      <w:r>
        <w:rPr>
          <w:rFonts w:ascii="Calibri" w:hAnsi="Calibri"/>
          <w:i w:val="0"/>
          <w:color w:val="212529"/>
          <w:sz w:val="22"/>
        </w:rPr>
        <w:t>One of Odisha's most cherished patriotic and romantic legends centers on Gajapati Purushottama Deva (15th century). When the King of Kanchi insulted the Gajapati for performing the sweeper's duty (Chhera Pahara) during Rath Yatra and refused to give his daughter Princess Padmavati in marriage, Purushottama Deva marched his army south. Tradition holds that Lord Jagannath and Lord Balabhadra rode ahead of the royal army on a black and a white horse. Parched from riding, they bought sweet curd (Dahi) from a milkmaid named Manika on the banks of Chilika Lake, handing over a jewel-encrusted signet ring as payment. The spot was christened Manikapatana, and the victorious Gajapati brought Princess Padmavati to Puri, wedded to her as he performed Chhera Pahara.</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PUR-S008</w:t>
            </w:r>
          </w:p>
        </w:tc>
        <w:tc>
          <w:tcPr>
            <w:tcW w:type="dxa" w:w="2016"/>
            <w:shd w:fill="FFFFFF"/>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FFFFF"/>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PUR-S009</w:t>
            </w:r>
          </w:p>
        </w:tc>
        <w:tc>
          <w:tcPr>
            <w:tcW w:type="dxa" w:w="2016"/>
            <w:shd w:fill="F9F6F0"/>
            <w:tcMar>
              <w:top w:w="100" w:type="dxa"/>
              <w:bottom w:w="100" w:type="dxa"/>
              <w:left w:w="140" w:type="dxa"/>
              <w:right w:w="140" w:type="dxa"/>
            </w:tcMar>
          </w:tcPr>
          <w:p>
            <w:pPr>
              <w:jc w:val="left"/>
            </w:pPr>
            <w:r>
              <w:rPr>
                <w:rFonts w:ascii="Calibri" w:hAnsi="Calibri"/>
                <w:color w:val="212529"/>
                <w:sz w:val="20"/>
              </w:rPr>
              <w:t>Kitab Mahal</w:t>
            </w:r>
          </w:p>
        </w:tc>
        <w:tc>
          <w:tcPr>
            <w:tcW w:type="dxa" w:w="3024"/>
            <w:shd w:fill="F9F6F0"/>
            <w:tcMar>
              <w:top w:w="100" w:type="dxa"/>
              <w:bottom w:w="100" w:type="dxa"/>
              <w:left w:w="140" w:type="dxa"/>
              <w:right w:w="140" w:type="dxa"/>
            </w:tcMar>
          </w:tcPr>
          <w:p>
            <w:pPr>
              <w:jc w:val="left"/>
            </w:pPr>
            <w:r>
              <w:rPr>
                <w:rFonts w:ascii="Calibri" w:hAnsi="Calibri"/>
                <w:color w:val="212529"/>
                <w:sz w:val="20"/>
              </w:rPr>
              <w:t>History of Orissa (Hindu Period): Political, Dynastic and Cultural Archaeology</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Textbook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https://archive.org/details/historyoforissapanigrahi</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PUR-S018</w:t>
            </w:r>
          </w:p>
        </w:tc>
        <w:tc>
          <w:tcPr>
            <w:tcW w:type="dxa" w:w="2016"/>
            <w:shd w:fill="FFFFFF"/>
            <w:tcMar>
              <w:top w:w="100" w:type="dxa"/>
              <w:bottom w:w="100" w:type="dxa"/>
              <w:left w:w="140" w:type="dxa"/>
              <w:right w:w="140" w:type="dxa"/>
            </w:tcMar>
          </w:tcPr>
          <w:p>
            <w:pPr>
              <w:jc w:val="left"/>
            </w:pPr>
            <w:r>
              <w:rPr>
                <w:rFonts w:ascii="Calibri" w:hAnsi="Calibri"/>
                <w:color w:val="212529"/>
                <w:sz w:val="20"/>
              </w:rPr>
              <w:t>Gaudiya Mission / Bhaktivedanta Archives</w:t>
            </w:r>
          </w:p>
        </w:tc>
        <w:tc>
          <w:tcPr>
            <w:tcW w:type="dxa" w:w="3024"/>
            <w:shd w:fill="FFFFFF"/>
            <w:tcMar>
              <w:top w:w="100" w:type="dxa"/>
              <w:bottom w:w="100" w:type="dxa"/>
              <w:left w:w="140" w:type="dxa"/>
              <w:right w:w="140" w:type="dxa"/>
            </w:tcMar>
          </w:tcPr>
          <w:p>
            <w:pPr>
              <w:jc w:val="left"/>
            </w:pPr>
            <w:r>
              <w:rPr>
                <w:rFonts w:ascii="Calibri" w:hAnsi="Calibri"/>
                <w:color w:val="212529"/>
                <w:sz w:val="20"/>
              </w:rPr>
              <w:t>Sri Chaitanya Charitamrita (Antya-lila): Chaitanya in Nilachala-Puri</w:t>
            </w:r>
          </w:p>
        </w:tc>
        <w:tc>
          <w:tcPr>
            <w:tcW w:type="dxa" w:w="1584"/>
            <w:shd w:fill="FFFFFF"/>
            <w:tcMar>
              <w:top w:w="100" w:type="dxa"/>
              <w:bottom w:w="100" w:type="dxa"/>
              <w:left w:w="140" w:type="dxa"/>
              <w:right w:w="140" w:type="dxa"/>
            </w:tcMar>
          </w:tcPr>
          <w:p>
            <w:pPr>
              <w:jc w:val="left"/>
            </w:pPr>
            <w:r>
              <w:rPr>
                <w:rFonts w:ascii="Calibri" w:hAnsi="Calibri"/>
                <w:color w:val="212529"/>
                <w:sz w:val="20"/>
              </w:rPr>
              <w:t>Historical-Devotional Text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https://gaudiyamission.org</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PUR-S019</w:t>
            </w:r>
          </w:p>
        </w:tc>
        <w:tc>
          <w:tcPr>
            <w:tcW w:type="dxa" w:w="2016"/>
            <w:shd w:fill="F9F6F0"/>
            <w:tcMar>
              <w:top w:w="100" w:type="dxa"/>
              <w:bottom w:w="100" w:type="dxa"/>
              <w:left w:w="140" w:type="dxa"/>
              <w:right w:w="140" w:type="dxa"/>
            </w:tcMar>
          </w:tcPr>
          <w:p>
            <w:pPr>
              <w:jc w:val="left"/>
            </w:pPr>
            <w:r>
              <w:rPr>
                <w:rFonts w:ascii="Calibri" w:hAnsi="Calibri"/>
                <w:color w:val="212529"/>
                <w:sz w:val="20"/>
              </w:rPr>
              <w:t>Madala Panji Archive</w:t>
            </w:r>
          </w:p>
        </w:tc>
        <w:tc>
          <w:tcPr>
            <w:tcW w:type="dxa" w:w="3024"/>
            <w:shd w:fill="F9F6F0"/>
            <w:tcMar>
              <w:top w:w="100" w:type="dxa"/>
              <w:bottom w:w="100" w:type="dxa"/>
              <w:left w:w="140" w:type="dxa"/>
              <w:right w:w="140" w:type="dxa"/>
            </w:tcMar>
          </w:tcPr>
          <w:p>
            <w:pPr>
              <w:jc w:val="left"/>
            </w:pPr>
            <w:r>
              <w:rPr>
                <w:rFonts w:ascii="Calibri" w:hAnsi="Calibri"/>
                <w:color w:val="212529"/>
                <w:sz w:val="20"/>
              </w:rPr>
              <w:t>Madala Panji: The Temple Chronicle of Shree Jagannath Temple of Puri</w:t>
            </w:r>
          </w:p>
        </w:tc>
        <w:tc>
          <w:tcPr>
            <w:tcW w:type="dxa" w:w="1584"/>
            <w:shd w:fill="F9F6F0"/>
            <w:tcMar>
              <w:top w:w="100" w:type="dxa"/>
              <w:bottom w:w="100" w:type="dxa"/>
              <w:left w:w="140" w:type="dxa"/>
              <w:right w:w="140" w:type="dxa"/>
            </w:tcMar>
          </w:tcPr>
          <w:p>
            <w:pPr>
              <w:jc w:val="left"/>
            </w:pPr>
            <w:r>
              <w:rPr>
                <w:rFonts w:ascii="Calibri" w:hAnsi="Calibri"/>
                <w:color w:val="212529"/>
                <w:sz w:val="20"/>
              </w:rPr>
              <w:t>Traditional Chronicle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https://orissaculture.gov.in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FOLKLORE &amp; MYTHOLOGICAL LORE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