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8B1E0F"/>
            <w:tcMar>
              <w:top w:w="200" w:type="dxa"/>
              <w:bottom w:w="200" w:type="dxa"/>
              <w:left w:w="240" w:type="dxa"/>
              <w:right w:w="240" w:type="dxa"/>
            </w:tcMar>
          </w:tcPr>
          <w:p>
            <w:pPr>
              <w:spacing w:after="80"/>
              <w:jc w:val="left"/>
            </w:pPr>
            <w:r>
              <w:rPr>
                <w:rFonts w:ascii="Calibri" w:hAnsi="Calibri"/>
                <w:b/>
                <w:color w:val="C58F27"/>
                <w:sz w:val="19"/>
              </w:rPr>
              <w:t>DOCUMENT 18 • ARCHITECTURE &amp; HERITAGE STRUCTURES</w:t>
              <w:br/>
            </w:r>
            <w:r>
              <w:rPr>
                <w:rFonts w:ascii="Georgia" w:hAnsi="Georgia"/>
                <w:b/>
                <w:color w:val="FFFFFF"/>
                <w:sz w:val="36"/>
              </w:rPr>
              <w:t>Architecture &amp; Heritage Buildings: The Kalinga Classical Style &amp; Urban Form</w:t>
            </w:r>
          </w:p>
          <w:p>
            <w:pPr>
              <w:spacing w:after="0"/>
            </w:pPr>
            <w:r>
              <w:rPr>
                <w:rFonts w:ascii="Calibri" w:hAnsi="Calibri"/>
                <w:i/>
                <w:color w:val="F0E6DC"/>
                <w:sz w:val="20"/>
              </w:rPr>
              <w:t>Puri Cultural Heritage Research Knowledge Base • Odisha, India</w:t>
            </w:r>
          </w:p>
        </w:tc>
      </w:tr>
    </w:tbl>
    <w:p>
      <w:pPr>
        <w:spacing w:after="200"/>
      </w:pPr>
    </w:p>
    <w:p>
      <w:pPr>
        <w:keepNext/>
        <w:spacing w:before="320" w:after="120"/>
      </w:pPr>
      <w:r>
        <w:rPr>
          <w:rFonts w:ascii="Georgia" w:hAnsi="Georgia"/>
          <w:b/>
          <w:color w:val="8B1E0F"/>
          <w:sz w:val="30"/>
        </w:rPr>
        <w:t>1. The Kalinga Temple Architectural Canon</w:t>
      </w:r>
    </w:p>
    <w:p>
      <w:pPr>
        <w:spacing w:after="120" w:line="276" w:lineRule="auto"/>
      </w:pPr>
      <w:r>
        <w:rPr>
          <w:rFonts w:ascii="Calibri" w:hAnsi="Calibri"/>
          <w:i w:val="0"/>
          <w:color w:val="212529"/>
          <w:sz w:val="22"/>
        </w:rPr>
        <w:t>Kalinga architecture represents one of India's most mature regional temple styles (classified within the Nagara order), governed by ancient Odia architectural treatises such as the Silpa Prakasa, Bhuvana Pradipa, and Silpa Sarani. The canon divides structural typologies into three fundamental forms: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3120"/>
        <w:gridCol w:w="3120"/>
        <w:gridCol w:w="3120"/>
      </w:tblGrid>
      <w:tr>
        <w:tc>
          <w:tcPr>
            <w:tcW w:type="dxa" w:w="2304"/>
            <w:shd w:fill="8B1E0F"/>
            <w:tcMar>
              <w:top w:w="120" w:type="dxa"/>
              <w:bottom w:w="120" w:type="dxa"/>
              <w:left w:w="140" w:type="dxa"/>
              <w:right w:w="140" w:type="dxa"/>
            </w:tcMar>
          </w:tcPr>
          <w:p>
            <w:pPr>
              <w:jc w:val="left"/>
            </w:pPr>
            <w:r>
              <w:rPr>
                <w:rFonts w:ascii="Calibri" w:hAnsi="Calibri"/>
                <w:b/>
                <w:color w:val="FFFFFF"/>
                <w:sz w:val="20"/>
              </w:rPr>
              <w:t>Typology (Deula Style)</w:t>
            </w:r>
          </w:p>
        </w:tc>
        <w:tc>
          <w:tcPr>
            <w:tcW w:type="dxa" w:w="3888"/>
            <w:shd w:fill="8B1E0F"/>
            <w:tcMar>
              <w:top w:w="120" w:type="dxa"/>
              <w:bottom w:w="120" w:type="dxa"/>
              <w:left w:w="140" w:type="dxa"/>
              <w:right w:w="140" w:type="dxa"/>
            </w:tcMar>
          </w:tcPr>
          <w:p>
            <w:pPr>
              <w:jc w:val="left"/>
            </w:pPr>
            <w:r>
              <w:rPr>
                <w:rFonts w:ascii="Calibri" w:hAnsi="Calibri"/>
                <w:b/>
                <w:color w:val="FFFFFF"/>
                <w:sz w:val="20"/>
              </w:rPr>
              <w:t>Structural Profile &amp; Roof Geometry</w:t>
            </w:r>
          </w:p>
        </w:tc>
        <w:tc>
          <w:tcPr>
            <w:tcW w:type="dxa" w:w="3168"/>
            <w:shd w:fill="8B1E0F"/>
            <w:tcMar>
              <w:top w:w="120" w:type="dxa"/>
              <w:bottom w:w="120" w:type="dxa"/>
              <w:left w:w="140" w:type="dxa"/>
              <w:right w:w="140" w:type="dxa"/>
            </w:tcMar>
          </w:tcPr>
          <w:p>
            <w:pPr>
              <w:jc w:val="left"/>
            </w:pPr>
            <w:r>
              <w:rPr>
                <w:rFonts w:ascii="Calibri" w:hAnsi="Calibri"/>
                <w:b/>
                <w:color w:val="FFFFFF"/>
                <w:sz w:val="20"/>
              </w:rPr>
              <w:t>Exemplar Structures in Puri</w:t>
            </w:r>
          </w:p>
        </w:tc>
      </w:tr>
      <w:tr>
        <w:tc>
          <w:tcPr>
            <w:tcW w:type="dxa" w:w="2304"/>
            <w:shd w:fill="FFFFFF"/>
            <w:tcMar>
              <w:top w:w="100" w:type="dxa"/>
              <w:bottom w:w="100" w:type="dxa"/>
              <w:left w:w="140" w:type="dxa"/>
              <w:right w:w="140" w:type="dxa"/>
            </w:tcMar>
          </w:tcPr>
          <w:p>
            <w:pPr>
              <w:jc w:val="left"/>
            </w:pPr>
            <w:r>
              <w:rPr>
                <w:rFonts w:ascii="Calibri" w:hAnsi="Calibri"/>
                <w:color w:val="212529"/>
                <w:sz w:val="20"/>
              </w:rPr>
              <w:t>Rekha Deula (ରେଖା ଦେଉଳ)</w:t>
            </w:r>
          </w:p>
        </w:tc>
        <w:tc>
          <w:tcPr>
            <w:tcW w:type="dxa" w:w="3888"/>
            <w:shd w:fill="FFFFFF"/>
            <w:tcMar>
              <w:top w:w="100" w:type="dxa"/>
              <w:bottom w:w="100" w:type="dxa"/>
              <w:left w:w="140" w:type="dxa"/>
              <w:right w:w="140" w:type="dxa"/>
            </w:tcMar>
          </w:tcPr>
          <w:p>
            <w:pPr>
              <w:jc w:val="left"/>
            </w:pPr>
            <w:r>
              <w:rPr>
                <w:rFonts w:ascii="Calibri" w:hAnsi="Calibri"/>
                <w:color w:val="212529"/>
                <w:sz w:val="20"/>
              </w:rPr>
              <w:t>Curvilinear spire (Sikhara) with vertical fluting (Rathas); crowning Amalaka and Kalasa</w:t>
            </w:r>
          </w:p>
        </w:tc>
        <w:tc>
          <w:tcPr>
            <w:tcW w:type="dxa" w:w="3168"/>
            <w:shd w:fill="FFFFFF"/>
            <w:tcMar>
              <w:top w:w="100" w:type="dxa"/>
              <w:bottom w:w="100" w:type="dxa"/>
              <w:left w:w="140" w:type="dxa"/>
              <w:right w:w="140" w:type="dxa"/>
            </w:tcMar>
          </w:tcPr>
          <w:p>
            <w:pPr>
              <w:jc w:val="left"/>
            </w:pPr>
            <w:r>
              <w:rPr>
                <w:rFonts w:ascii="Calibri" w:hAnsi="Calibri"/>
                <w:color w:val="212529"/>
                <w:sz w:val="20"/>
              </w:rPr>
              <w:t>Vimana (Main Sanctum) of Jagannath Temple (65m); Lokanath Temple.</w:t>
            </w:r>
          </w:p>
        </w:tc>
      </w:tr>
      <w:tr>
        <w:tc>
          <w:tcPr>
            <w:tcW w:type="dxa" w:w="2304"/>
            <w:shd w:fill="F9F6F0"/>
            <w:tcMar>
              <w:top w:w="100" w:type="dxa"/>
              <w:bottom w:w="100" w:type="dxa"/>
              <w:left w:w="140" w:type="dxa"/>
              <w:right w:w="140" w:type="dxa"/>
            </w:tcMar>
          </w:tcPr>
          <w:p>
            <w:pPr>
              <w:jc w:val="left"/>
            </w:pPr>
            <w:r>
              <w:rPr>
                <w:rFonts w:ascii="Calibri" w:hAnsi="Calibri"/>
                <w:color w:val="212529"/>
                <w:sz w:val="20"/>
              </w:rPr>
              <w:t>Pidha Deula / Bhadra Deula</w:t>
            </w:r>
          </w:p>
        </w:tc>
        <w:tc>
          <w:tcPr>
            <w:tcW w:type="dxa" w:w="3888"/>
            <w:shd w:fill="F9F6F0"/>
            <w:tcMar>
              <w:top w:w="100" w:type="dxa"/>
              <w:bottom w:w="100" w:type="dxa"/>
              <w:left w:w="140" w:type="dxa"/>
              <w:right w:w="140" w:type="dxa"/>
            </w:tcMar>
          </w:tcPr>
          <w:p>
            <w:pPr>
              <w:jc w:val="left"/>
            </w:pPr>
            <w:r>
              <w:rPr>
                <w:rFonts w:ascii="Calibri" w:hAnsi="Calibri"/>
                <w:color w:val="212529"/>
                <w:sz w:val="20"/>
              </w:rPr>
              <w:t>Pyramidal stepped roof composed of receding horizontal tiers (Potalas / Pidhas)</w:t>
            </w:r>
          </w:p>
        </w:tc>
        <w:tc>
          <w:tcPr>
            <w:tcW w:type="dxa" w:w="3168"/>
            <w:shd w:fill="F9F6F0"/>
            <w:tcMar>
              <w:top w:w="100" w:type="dxa"/>
              <w:bottom w:w="100" w:type="dxa"/>
              <w:left w:w="140" w:type="dxa"/>
              <w:right w:w="140" w:type="dxa"/>
            </w:tcMar>
          </w:tcPr>
          <w:p>
            <w:pPr>
              <w:jc w:val="left"/>
            </w:pPr>
            <w:r>
              <w:rPr>
                <w:rFonts w:ascii="Calibri" w:hAnsi="Calibri"/>
                <w:color w:val="212529"/>
                <w:sz w:val="20"/>
              </w:rPr>
              <w:t>Jagamohana (Assembly Hall) &amp; Bhoga Mandapa of Jagannath Temple; Gundicha Jagamohana.</w:t>
            </w:r>
          </w:p>
        </w:tc>
      </w:tr>
      <w:tr>
        <w:tc>
          <w:tcPr>
            <w:tcW w:type="dxa" w:w="2304"/>
            <w:shd w:fill="FFFFFF"/>
            <w:tcMar>
              <w:top w:w="100" w:type="dxa"/>
              <w:bottom w:w="100" w:type="dxa"/>
              <w:left w:w="140" w:type="dxa"/>
              <w:right w:w="140" w:type="dxa"/>
            </w:tcMar>
          </w:tcPr>
          <w:p>
            <w:pPr>
              <w:jc w:val="left"/>
            </w:pPr>
            <w:r>
              <w:rPr>
                <w:rFonts w:ascii="Calibri" w:hAnsi="Calibri"/>
                <w:color w:val="212529"/>
                <w:sz w:val="20"/>
              </w:rPr>
              <w:t>Khakhara Deula (ଖାଖରା ଦେଉଳ)</w:t>
            </w:r>
          </w:p>
        </w:tc>
        <w:tc>
          <w:tcPr>
            <w:tcW w:type="dxa" w:w="3888"/>
            <w:shd w:fill="FFFFFF"/>
            <w:tcMar>
              <w:top w:w="100" w:type="dxa"/>
              <w:bottom w:w="100" w:type="dxa"/>
              <w:left w:w="140" w:type="dxa"/>
              <w:right w:w="140" w:type="dxa"/>
            </w:tcMar>
          </w:tcPr>
          <w:p>
            <w:pPr>
              <w:jc w:val="left"/>
            </w:pPr>
            <w:r>
              <w:rPr>
                <w:rFonts w:ascii="Calibri" w:hAnsi="Calibri"/>
                <w:color w:val="212529"/>
                <w:sz w:val="20"/>
              </w:rPr>
              <w:t>Barrel-vaulted semi-cylindrical roof resembling a gourd (Khakhara); exclusively Shakta</w:t>
            </w:r>
          </w:p>
        </w:tc>
        <w:tc>
          <w:tcPr>
            <w:tcW w:type="dxa" w:w="3168"/>
            <w:shd w:fill="FFFFFF"/>
            <w:tcMar>
              <w:top w:w="100" w:type="dxa"/>
              <w:bottom w:w="100" w:type="dxa"/>
              <w:left w:w="140" w:type="dxa"/>
              <w:right w:w="140" w:type="dxa"/>
            </w:tcMar>
          </w:tcPr>
          <w:p>
            <w:pPr>
              <w:jc w:val="left"/>
            </w:pPr>
            <w:r>
              <w:rPr>
                <w:rFonts w:ascii="Calibri" w:hAnsi="Calibri"/>
                <w:color w:val="212529"/>
                <w:sz w:val="20"/>
              </w:rPr>
              <w:t>Varahi Temple (Chaurasi); Maa Mangala Temple (Kakatpur); Vimala subsidiary sanctum.</w:t>
            </w:r>
          </w:p>
        </w:tc>
      </w:tr>
    </w:tbl>
    <w:p>
      <w:pPr>
        <w:spacing w:after="120"/>
      </w:pPr>
    </w:p>
    <w:p>
      <w:pPr>
        <w:keepNext/>
        <w:spacing w:before="320" w:after="120"/>
      </w:pPr>
      <w:r>
        <w:rPr>
          <w:rFonts w:ascii="Georgia" w:hAnsi="Georgia"/>
          <w:b/>
          <w:color w:val="8B1E0F"/>
          <w:sz w:val="30"/>
        </w:rPr>
        <w:t>2. Traditional Urban Form: Bada Danda &amp; Matha Monastic Enclaves</w:t>
      </w:r>
    </w:p>
    <w:p>
      <w:pPr>
        <w:spacing w:after="120" w:line="276" w:lineRule="auto"/>
      </w:pPr>
      <w:r>
        <w:rPr>
          <w:rFonts w:ascii="Calibri" w:hAnsi="Calibri"/>
          <w:i w:val="0"/>
          <w:color w:val="212529"/>
          <w:sz w:val="22"/>
        </w:rPr>
        <w:t>The urban morphology of Puri is fundamentally sacred and ceremonial, anchored by the axial orientation of Bada Danda (Grand Road). Spanning ~3 km in length and over 40 meters in width, this ceremonial corridor connects the Shri Mandira to the Gundicha Temple. Flanking this sacred spine are dozens of historic Mathas—two-to-three-story monastic quadrangles characterized by internal courtyards (Chahala), arched verandas, carved wooden brackets, and subterranean relic libraries (e.g. Emar Matha, Raghunandan Library).</w:t>
      </w:r>
    </w:p>
    <w:p>
      <w:pPr>
        <w:keepNext/>
        <w:spacing w:before="320" w:after="120"/>
      </w:pPr>
      <w:r>
        <w:rPr>
          <w:rFonts w:ascii="Georgia" w:hAnsi="Georgia"/>
          <w:b/>
          <w:color w:val="8B1E0F"/>
          <w:sz w:val="30"/>
        </w:rPr>
        <w:t>Document References &amp; Sources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1872"/>
        <w:gridCol w:w="1872"/>
        <w:gridCol w:w="1872"/>
        <w:gridCol w:w="1872"/>
        <w:gridCol w:w="1872"/>
      </w:tblGrid>
      <w:tr>
        <w:tc>
          <w:tcPr>
            <w:tcW w:type="dxa" w:w="1296"/>
            <w:shd w:fill="8B1E0F"/>
            <w:tcMar>
              <w:top w:w="120" w:type="dxa"/>
              <w:bottom w:w="120" w:type="dxa"/>
              <w:left w:w="140" w:type="dxa"/>
              <w:right w:w="140" w:type="dxa"/>
            </w:tcMar>
          </w:tcPr>
          <w:p>
            <w:pPr>
              <w:jc w:val="left"/>
            </w:pPr>
            <w:r>
              <w:rPr>
                <w:rFonts w:ascii="Calibri" w:hAnsi="Calibri"/>
                <w:b/>
                <w:color w:val="FFFFFF"/>
                <w:sz w:val="20"/>
              </w:rPr>
              <w:t>Source ID</w:t>
            </w:r>
          </w:p>
        </w:tc>
        <w:tc>
          <w:tcPr>
            <w:tcW w:type="dxa" w:w="2016"/>
            <w:shd w:fill="8B1E0F"/>
            <w:tcMar>
              <w:top w:w="120" w:type="dxa"/>
              <w:bottom w:w="120" w:type="dxa"/>
              <w:left w:w="140" w:type="dxa"/>
              <w:right w:w="140" w:type="dxa"/>
            </w:tcMar>
          </w:tcPr>
          <w:p>
            <w:pPr>
              <w:jc w:val="left"/>
            </w:pPr>
            <w:r>
              <w:rPr>
                <w:rFonts w:ascii="Calibri" w:hAnsi="Calibri"/>
                <w:b/>
                <w:color w:val="FFFFFF"/>
                <w:sz w:val="20"/>
              </w:rPr>
              <w:t>Author / Institution</w:t>
            </w:r>
          </w:p>
        </w:tc>
        <w:tc>
          <w:tcPr>
            <w:tcW w:type="dxa" w:w="3024"/>
            <w:shd w:fill="8B1E0F"/>
            <w:tcMar>
              <w:top w:w="120" w:type="dxa"/>
              <w:bottom w:w="120" w:type="dxa"/>
              <w:left w:w="140" w:type="dxa"/>
              <w:right w:w="140" w:type="dxa"/>
            </w:tcMar>
          </w:tcPr>
          <w:p>
            <w:pPr>
              <w:jc w:val="left"/>
            </w:pPr>
            <w:r>
              <w:rPr>
                <w:rFonts w:ascii="Calibri" w:hAnsi="Calibri"/>
                <w:b/>
                <w:color w:val="FFFFFF"/>
                <w:sz w:val="20"/>
              </w:rPr>
              <w:t>Title &amp; Publication</w:t>
            </w:r>
          </w:p>
        </w:tc>
        <w:tc>
          <w:tcPr>
            <w:tcW w:type="dxa" w:w="1584"/>
            <w:shd w:fill="8B1E0F"/>
            <w:tcMar>
              <w:top w:w="120" w:type="dxa"/>
              <w:bottom w:w="120" w:type="dxa"/>
              <w:left w:w="140" w:type="dxa"/>
              <w:right w:w="140" w:type="dxa"/>
            </w:tcMar>
          </w:tcPr>
          <w:p>
            <w:pPr>
              <w:jc w:val="left"/>
            </w:pPr>
            <w:r>
              <w:rPr>
                <w:rFonts w:ascii="Calibri" w:hAnsi="Calibri"/>
                <w:b/>
                <w:color w:val="FFFFFF"/>
                <w:sz w:val="20"/>
              </w:rPr>
              <w:t>Type &amp; Tier</w:t>
            </w:r>
          </w:p>
        </w:tc>
        <w:tc>
          <w:tcPr>
            <w:tcW w:type="dxa" w:w="1440"/>
            <w:shd w:fill="8B1E0F"/>
            <w:tcMar>
              <w:top w:w="120" w:type="dxa"/>
              <w:bottom w:w="120" w:type="dxa"/>
              <w:left w:w="140" w:type="dxa"/>
              <w:right w:w="140" w:type="dxa"/>
            </w:tcMar>
          </w:tcPr>
          <w:p>
            <w:pPr>
              <w:jc w:val="left"/>
            </w:pPr>
            <w:r>
              <w:rPr>
                <w:rFonts w:ascii="Calibri" w:hAnsi="Calibri"/>
                <w:b/>
                <w:color w:val="FFFFFF"/>
                <w:sz w:val="20"/>
              </w:rPr>
              <w:t>URL / Accession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PUR-S001</w:t>
            </w:r>
          </w:p>
        </w:tc>
        <w:tc>
          <w:tcPr>
            <w:tcW w:type="dxa" w:w="2016"/>
            <w:shd w:fill="FFFFFF"/>
            <w:tcMar>
              <w:top w:w="100" w:type="dxa"/>
              <w:bottom w:w="100" w:type="dxa"/>
              <w:left w:w="140" w:type="dxa"/>
              <w:right w:w="140" w:type="dxa"/>
            </w:tcMar>
          </w:tcPr>
          <w:p>
            <w:pPr>
              <w:jc w:val="left"/>
            </w:pPr>
            <w:r>
              <w:rPr>
                <w:rFonts w:ascii="Calibri" w:hAnsi="Calibri"/>
                <w:color w:val="212529"/>
                <w:sz w:val="20"/>
              </w:rPr>
              <w:t>Archaeological Survey of India (ASI)</w:t>
            </w:r>
          </w:p>
        </w:tc>
        <w:tc>
          <w:tcPr>
            <w:tcW w:type="dxa" w:w="3024"/>
            <w:shd w:fill="FFFFFF"/>
            <w:tcMar>
              <w:top w:w="100" w:type="dxa"/>
              <w:bottom w:w="100" w:type="dxa"/>
              <w:left w:w="140" w:type="dxa"/>
              <w:right w:w="140" w:type="dxa"/>
            </w:tcMar>
          </w:tcPr>
          <w:p>
            <w:pPr>
              <w:jc w:val="left"/>
            </w:pPr>
            <w:r>
              <w:rPr>
                <w:rFonts w:ascii="Calibri" w:hAnsi="Calibri"/>
                <w:color w:val="212529"/>
                <w:sz w:val="20"/>
              </w:rPr>
              <w:t>Architectural and Structural Conservation Reports on Shree Jagannath Temple Complex, Puri</w:t>
            </w:r>
          </w:p>
        </w:tc>
        <w:tc>
          <w:tcPr>
            <w:tcW w:type="dxa" w:w="1584"/>
            <w:shd w:fill="FFFFFF"/>
            <w:tcMar>
              <w:top w:w="100" w:type="dxa"/>
              <w:bottom w:w="100" w:type="dxa"/>
              <w:left w:w="140" w:type="dxa"/>
              <w:right w:w="140" w:type="dxa"/>
            </w:tcMar>
          </w:tcPr>
          <w:p>
            <w:pPr>
              <w:jc w:val="left"/>
            </w:pPr>
            <w:r>
              <w:rPr>
                <w:rFonts w:ascii="Calibri" w:hAnsi="Calibri"/>
                <w:color w:val="212529"/>
                <w:sz w:val="20"/>
              </w:rPr>
              <w:t>Government Report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https://asi.nic.in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PUR-S006</w:t>
            </w:r>
          </w:p>
        </w:tc>
        <w:tc>
          <w:tcPr>
            <w:tcW w:type="dxa" w:w="2016"/>
            <w:shd w:fill="F9F6F0"/>
            <w:tcMar>
              <w:top w:w="100" w:type="dxa"/>
              <w:bottom w:w="100" w:type="dxa"/>
              <w:left w:w="140" w:type="dxa"/>
              <w:right w:w="140" w:type="dxa"/>
            </w:tcMar>
          </w:tcPr>
          <w:p>
            <w:pPr>
              <w:jc w:val="left"/>
            </w:pPr>
            <w:r>
              <w:rPr>
                <w:rFonts w:ascii="Calibri" w:hAnsi="Calibri"/>
                <w:color w:val="212529"/>
                <w:sz w:val="20"/>
              </w:rPr>
              <w:t>INTACH (Odisha State Chapter)</w:t>
            </w:r>
          </w:p>
        </w:tc>
        <w:tc>
          <w:tcPr>
            <w:tcW w:type="dxa" w:w="3024"/>
            <w:shd w:fill="F9F6F0"/>
            <w:tcMar>
              <w:top w:w="100" w:type="dxa"/>
              <w:bottom w:w="100" w:type="dxa"/>
              <w:left w:w="140" w:type="dxa"/>
              <w:right w:w="140" w:type="dxa"/>
            </w:tcMar>
          </w:tcPr>
          <w:p>
            <w:pPr>
              <w:jc w:val="left"/>
            </w:pPr>
            <w:r>
              <w:rPr>
                <w:rFonts w:ascii="Calibri" w:hAnsi="Calibri"/>
                <w:color w:val="212529"/>
                <w:sz w:val="20"/>
              </w:rPr>
              <w:t>Listing and Documentation of Built Heritage &amp; Traditional Mathas of Puri (Shrikshetra)</w:t>
            </w:r>
          </w:p>
        </w:tc>
        <w:tc>
          <w:tcPr>
            <w:tcW w:type="dxa" w:w="1584"/>
            <w:shd w:fill="F9F6F0"/>
            <w:tcMar>
              <w:top w:w="100" w:type="dxa"/>
              <w:bottom w:w="100" w:type="dxa"/>
              <w:left w:w="140" w:type="dxa"/>
              <w:right w:w="140" w:type="dxa"/>
            </w:tcMar>
          </w:tcPr>
          <w:p>
            <w:pPr>
              <w:jc w:val="left"/>
            </w:pPr>
            <w:r>
              <w:rPr>
                <w:rFonts w:ascii="Calibri" w:hAnsi="Calibri"/>
                <w:color w:val="212529"/>
                <w:sz w:val="20"/>
              </w:rPr>
              <w:t>Heritage Monograph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https://intach.org</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PUR-S008</w:t>
            </w:r>
          </w:p>
        </w:tc>
        <w:tc>
          <w:tcPr>
            <w:tcW w:type="dxa" w:w="2016"/>
            <w:shd w:fill="FFFFFF"/>
            <w:tcMar>
              <w:top w:w="100" w:type="dxa"/>
              <w:bottom w:w="100" w:type="dxa"/>
              <w:left w:w="140" w:type="dxa"/>
              <w:right w:w="140" w:type="dxa"/>
            </w:tcMar>
          </w:tcPr>
          <w:p>
            <w:pPr>
              <w:jc w:val="left"/>
            </w:pPr>
            <w:r>
              <w:rPr>
                <w:rFonts w:ascii="Calibri" w:hAnsi="Calibri"/>
                <w:color w:val="212529"/>
                <w:sz w:val="20"/>
              </w:rPr>
              <w:t>Oxford University Press / Heidelberg University</w:t>
            </w:r>
          </w:p>
        </w:tc>
        <w:tc>
          <w:tcPr>
            <w:tcW w:type="dxa" w:w="3024"/>
            <w:shd w:fill="FFFFFF"/>
            <w:tcMar>
              <w:top w:w="100" w:type="dxa"/>
              <w:bottom w:w="100" w:type="dxa"/>
              <w:left w:w="140" w:type="dxa"/>
              <w:right w:w="140" w:type="dxa"/>
            </w:tcMar>
          </w:tcPr>
          <w:p>
            <w:pPr>
              <w:jc w:val="left"/>
            </w:pPr>
            <w:r>
              <w:rPr>
                <w:rFonts w:ascii="Calibri" w:hAnsi="Calibri"/>
                <w:color w:val="212529"/>
                <w:sz w:val="20"/>
              </w:rPr>
              <w:t>The Cult of Jagannath and the Regional Tradition of Orissa (Orissa Research Project)</w:t>
            </w:r>
          </w:p>
        </w:tc>
        <w:tc>
          <w:tcPr>
            <w:tcW w:type="dxa" w:w="1584"/>
            <w:shd w:fill="FFFFFF"/>
            <w:tcMar>
              <w:top w:w="100" w:type="dxa"/>
              <w:bottom w:w="100" w:type="dxa"/>
              <w:left w:w="140" w:type="dxa"/>
              <w:right w:w="140" w:type="dxa"/>
            </w:tcMar>
          </w:tcPr>
          <w:p>
            <w:pPr>
              <w:jc w:val="left"/>
            </w:pPr>
            <w:r>
              <w:rPr>
                <w:rFonts w:ascii="Calibri" w:hAnsi="Calibri"/>
                <w:color w:val="212529"/>
                <w:sz w:val="20"/>
              </w:rPr>
              <w:t>Academic Monograph (Tier 2)</w:t>
            </w:r>
          </w:p>
        </w:tc>
        <w:tc>
          <w:tcPr>
            <w:tcW w:type="dxa" w:w="1440"/>
            <w:shd w:fill="FFFFFF"/>
            <w:tcMar>
              <w:top w:w="100" w:type="dxa"/>
              <w:bottom w:w="100" w:type="dxa"/>
              <w:left w:w="140" w:type="dxa"/>
              <w:right w:w="140" w:type="dxa"/>
            </w:tcMar>
          </w:tcPr>
          <w:p>
            <w:pPr>
              <w:jc w:val="left"/>
            </w:pPr>
            <w:r>
              <w:rPr>
                <w:rFonts w:ascii="Calibri" w:hAnsi="Calibri"/>
                <w:color w:val="212529"/>
                <w:sz w:val="20"/>
              </w:rPr>
              <w:t>https://doi.org/10.1093/oso/9780195610819.001.0001</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PUR-S020</w:t>
            </w:r>
          </w:p>
        </w:tc>
        <w:tc>
          <w:tcPr>
            <w:tcW w:type="dxa" w:w="2016"/>
            <w:shd w:fill="F9F6F0"/>
            <w:tcMar>
              <w:top w:w="100" w:type="dxa"/>
              <w:bottom w:w="100" w:type="dxa"/>
              <w:left w:w="140" w:type="dxa"/>
              <w:right w:w="140" w:type="dxa"/>
            </w:tcMar>
          </w:tcPr>
          <w:p>
            <w:pPr>
              <w:jc w:val="left"/>
            </w:pPr>
            <w:r>
              <w:rPr>
                <w:rFonts w:ascii="Calibri" w:hAnsi="Calibri"/>
                <w:color w:val="212529"/>
                <w:sz w:val="20"/>
              </w:rPr>
              <w:t>National Mission on Monuments and Antiquities (NMMA)</w:t>
            </w:r>
          </w:p>
        </w:tc>
        <w:tc>
          <w:tcPr>
            <w:tcW w:type="dxa" w:w="3024"/>
            <w:shd w:fill="F9F6F0"/>
            <w:tcMar>
              <w:top w:w="100" w:type="dxa"/>
              <w:bottom w:w="100" w:type="dxa"/>
              <w:left w:w="140" w:type="dxa"/>
              <w:right w:w="140" w:type="dxa"/>
            </w:tcMar>
          </w:tcPr>
          <w:p>
            <w:pPr>
              <w:jc w:val="left"/>
            </w:pPr>
            <w:r>
              <w:rPr>
                <w:rFonts w:ascii="Calibri" w:hAnsi="Calibri"/>
                <w:color w:val="212529"/>
                <w:sz w:val="20"/>
              </w:rPr>
              <w:t>National Inventory of Built Heritage: Deulas and Pithas of Coastal Odisha</w:t>
            </w:r>
          </w:p>
        </w:tc>
        <w:tc>
          <w:tcPr>
            <w:tcW w:type="dxa" w:w="1584"/>
            <w:shd w:fill="F9F6F0"/>
            <w:tcMar>
              <w:top w:w="100" w:type="dxa"/>
              <w:bottom w:w="100" w:type="dxa"/>
              <w:left w:w="140" w:type="dxa"/>
              <w:right w:w="140" w:type="dxa"/>
            </w:tcMar>
          </w:tcPr>
          <w:p>
            <w:pPr>
              <w:jc w:val="left"/>
            </w:pPr>
            <w:r>
              <w:rPr>
                <w:rFonts w:ascii="Calibri" w:hAnsi="Calibri"/>
                <w:color w:val="212529"/>
                <w:sz w:val="20"/>
              </w:rPr>
              <w:t>Government Database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https://nmma.nic.in</w:t>
            </w:r>
          </w:p>
        </w:tc>
      </w:tr>
    </w:tbl>
    <w:p>
      <w:pPr>
        <w:spacing w:after="12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PURI CULTURAL KNOWLEDGE BASE | ARCHITECTURE &amp; HERITAGE STRUCTURES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