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22 • TRADITIONAL OCCUPATIONS &amp; ECONOMY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Traditional Occupations &amp; Guild Systems of Puri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The Guild-Based Heritage Economy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Traditional occupations in Puri are sustained by the perpetual cycle of temple rituals, festival processions, and pilgrimage demand. These professions are organized into hereditary guilds (Nijogas) and artisanal cooperatives: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Occupation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Guild / Community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Tools &amp; Methodologies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Modern Adaptation &amp; Economic Health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Rath Maharana (Chariot Carpenters)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Maharana woodworkers guild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Chisels, adzes, traditional wooden measuring canes (Hatha)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Vibrant; state stipends provided during annual 60-day construction.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Pattachitra Scroll Painters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Chitrakara community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Handmade cloth canvas, stone pigments, mongoose-hair brushes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Highly prosperous through global e-commerce and Raghurajpur tourism.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Anand Bazaar Mahaprasad Vendors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Suara servitor families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Terracotta Kudua pots, bamboo baskets (Pahandi pakhia)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Robust daily trade serving tens of thousands of visiting pilgrims.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Tirtha Panda Guides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Brahmin panda lineages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Genealogical palm-leaf records (Pothi / Khata)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Modernized with digital booking, phone networks, and lodge ownership.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Conch &amp; Shell Artisans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Swargadwar beach craft clusters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Diamond-point rotary cutters, manual polishing wheels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Active trade catering to domestic souvenirs and ritual buyers.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TRADITIONAL OCCUPATIONS &amp; ECONOMY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