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8B1E0F"/>
            <w:tcMar>
              <w:top w:w="200" w:type="dxa"/>
              <w:bottom w:w="200" w:type="dxa"/>
              <w:left w:w="240" w:type="dxa"/>
              <w:right w:w="240" w:type="dxa"/>
            </w:tcMar>
          </w:tcPr>
          <w:p>
            <w:pPr>
              <w:spacing w:after="80"/>
              <w:jc w:val="left"/>
            </w:pPr>
            <w:r>
              <w:rPr>
                <w:rFonts w:ascii="Calibri" w:hAnsi="Calibri"/>
                <w:b/>
                <w:color w:val="C58F27"/>
                <w:sz w:val="19"/>
              </w:rPr>
              <w:t>DOCUMENT 23 • TRADITIONAL KNOWLEDGE &amp; SCIENCES</w:t>
              <w:br/>
            </w:r>
            <w:r>
              <w:rPr>
                <w:rFonts w:ascii="Georgia" w:hAnsi="Georgia"/>
                <w:b/>
                <w:color w:val="FFFFFF"/>
                <w:sz w:val="36"/>
              </w:rPr>
              <w:t>Traditional Knowledge Systems: Ecology, Herbalism, &amp; Metallurgy</w:t>
            </w:r>
          </w:p>
          <w:p>
            <w:pPr>
              <w:spacing w:after="0"/>
            </w:pPr>
            <w:r>
              <w:rPr>
                <w:rFonts w:ascii="Calibri" w:hAnsi="Calibri"/>
                <w:i/>
                <w:color w:val="F0E6DC"/>
                <w:sz w:val="20"/>
              </w:rPr>
              <w:t>Puri Cultural Heritage Research Knowledge Base • Odisha, India</w:t>
            </w:r>
          </w:p>
        </w:tc>
      </w:tr>
    </w:tbl>
    <w:p>
      <w:pPr>
        <w:spacing w:after="200"/>
      </w:pPr>
    </w:p>
    <w:p>
      <w:pPr>
        <w:keepNext/>
        <w:spacing w:before="320" w:after="120"/>
      </w:pPr>
      <w:r>
        <w:rPr>
          <w:rFonts w:ascii="Georgia" w:hAnsi="Georgia"/>
          <w:b/>
          <w:color w:val="8B1E0F"/>
          <w:sz w:val="30"/>
        </w:rPr>
        <w:t>1. Indigenous Ecological &amp; Material Sciences in Puri</w:t>
      </w:r>
    </w:p>
    <w:p>
      <w:pPr>
        <w:spacing w:after="120" w:line="276" w:lineRule="auto"/>
      </w:pPr>
      <w:r>
        <w:rPr>
          <w:rFonts w:ascii="Calibri" w:hAnsi="Calibri"/>
          <w:i w:val="0"/>
          <w:color w:val="212529"/>
          <w:sz w:val="22"/>
        </w:rPr>
        <w:t>Puri preserves extensive traditional knowledge systems developed over a millennium of temple administration, hydraulic engineering, and coastal survival: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1C7B7"/>
          <w:bottom w:val="single" w:sz="4" w:space="0" w:color="D1C7B7"/>
          <w:left w:val="none"/>
          <w:right w:val="none"/>
          <w:insideH w:val="single" w:sz="4" w:space="0" w:color="D1C7B7"/>
          <w:insideV w:val="none"/>
        </w:tblBorders>
      </w:tblPr>
      <w:tblGrid>
        <w:gridCol w:w="3120"/>
        <w:gridCol w:w="3120"/>
        <w:gridCol w:w="3120"/>
      </w:tblGrid>
      <w:tr>
        <w:tc>
          <w:tcPr>
            <w:tcW w:type="dxa" w:w="2160"/>
            <w:shd w:fill="8B1E0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Knowledge Domain</w:t>
            </w:r>
          </w:p>
        </w:tc>
        <w:tc>
          <w:tcPr>
            <w:tcW w:type="dxa" w:w="3312"/>
            <w:shd w:fill="8B1E0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Traditional Practice / Formulation</w:t>
            </w:r>
          </w:p>
        </w:tc>
        <w:tc>
          <w:tcPr>
            <w:tcW w:type="dxa" w:w="3888"/>
            <w:shd w:fill="8B1E0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Scientific &amp; Cultural Mechanism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Phuluri Tela (Herbal Oil)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15-day root-infused sesame oil stored underground in earthen jars</w:t>
            </w:r>
          </w:p>
        </w:tc>
        <w:tc>
          <w:tcPr>
            <w:tcW w:type="dxa" w:w="388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Applied to deities during Anavasara; anti-fungal, moisture-regulating herbal wood preservative.</w:t>
            </w:r>
          </w:p>
        </w:tc>
      </w:tr>
      <w:tr>
        <w:tc>
          <w:tcPr>
            <w:tcW w:type="dxa" w:w="2160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Hydraulic Tank Engineering</w:t>
            </w:r>
          </w:p>
        </w:tc>
        <w:tc>
          <w:tcPr>
            <w:tcW w:type="dxa" w:w="3312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Concentric silt-settling ponds (Narendra, Indradyumna)</w:t>
            </w:r>
          </w:p>
        </w:tc>
        <w:tc>
          <w:tcPr>
            <w:tcW w:type="dxa" w:w="3888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Maintained freshwater aquifers in high-salinity coastal zone through natural sand-filtration layers.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Natural Pigment Chemistry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Crushed conch (calcium carbonate) + Haritala (arsenic trisulfide)</w:t>
            </w:r>
          </w:p>
        </w:tc>
        <w:tc>
          <w:tcPr>
            <w:tcW w:type="dxa" w:w="388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Forms chemically inert, lightfast mineral pigments impervious to tropical humidity.</w:t>
            </w:r>
          </w:p>
        </w:tc>
      </w:tr>
      <w:tr>
        <w:tc>
          <w:tcPr>
            <w:tcW w:type="dxa" w:w="2160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Daru Selection Silpa Shastra</w:t>
            </w:r>
          </w:p>
        </w:tc>
        <w:tc>
          <w:tcPr>
            <w:tcW w:type="dxa" w:w="3312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Rigorous botanical diagnostic for Neem trees (absence of bird nests, specific bark marks)</w:t>
            </w:r>
          </w:p>
        </w:tc>
        <w:tc>
          <w:tcPr>
            <w:tcW w:type="dxa" w:w="3888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Ensures selection of dense, resin-rich Azadirachta indica timber with natural anti-termite properties.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Ashtadhatu Metallurgy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Eight-metal alloy casting for Nilachakra crest (gold, silver, copper, zinc, lead, tin, iron, mercury)</w:t>
            </w:r>
          </w:p>
        </w:tc>
        <w:tc>
          <w:tcPr>
            <w:tcW w:type="dxa" w:w="388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Engineered to withstand coastal salt air corrosion for centuries atop the 65m spire.</w:t>
            </w:r>
          </w:p>
        </w:tc>
      </w:tr>
    </w:tbl>
    <w:p>
      <w:pPr>
        <w:spacing w:after="120"/>
      </w:pPr>
    </w:p>
    <w:p>
      <w:pPr>
        <w:keepNext/>
        <w:spacing w:before="320" w:after="120"/>
      </w:pPr>
      <w:r>
        <w:rPr>
          <w:rFonts w:ascii="Georgia" w:hAnsi="Georgia"/>
          <w:b/>
          <w:color w:val="8B1E0F"/>
          <w:sz w:val="30"/>
        </w:rPr>
        <w:t>Document References &amp; Sources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1C7B7"/>
          <w:bottom w:val="single" w:sz="4" w:space="0" w:color="D1C7B7"/>
          <w:left w:val="none"/>
          <w:right w:val="none"/>
          <w:insideH w:val="single" w:sz="4" w:space="0" w:color="D1C7B7"/>
          <w:insideV w:val="none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296"/>
            <w:shd w:fill="8B1E0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Source ID</w:t>
            </w:r>
          </w:p>
        </w:tc>
        <w:tc>
          <w:tcPr>
            <w:tcW w:type="dxa" w:w="2016"/>
            <w:shd w:fill="8B1E0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Author / Institution</w:t>
            </w:r>
          </w:p>
        </w:tc>
        <w:tc>
          <w:tcPr>
            <w:tcW w:type="dxa" w:w="3024"/>
            <w:shd w:fill="8B1E0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Title &amp; Publication</w:t>
            </w:r>
          </w:p>
        </w:tc>
        <w:tc>
          <w:tcPr>
            <w:tcW w:type="dxa" w:w="1584"/>
            <w:shd w:fill="8B1E0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Type &amp; Tier</w:t>
            </w:r>
          </w:p>
        </w:tc>
        <w:tc>
          <w:tcPr>
            <w:tcW w:type="dxa" w:w="1440"/>
            <w:shd w:fill="8B1E0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URL / Accession</w:t>
            </w:r>
          </w:p>
        </w:tc>
      </w:tr>
      <w:tr>
        <w:tc>
          <w:tcPr>
            <w:tcW w:type="dxa" w:w="129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PUR-S001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Archaeological Survey of India (ASI)</w:t>
            </w:r>
          </w:p>
        </w:tc>
        <w:tc>
          <w:tcPr>
            <w:tcW w:type="dxa" w:w="302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Architectural and Structural Conservation Reports on Shree Jagannath Temple Complex, Puri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Government Report (Tier 1)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https://asi.nic.in</w:t>
            </w:r>
          </w:p>
        </w:tc>
      </w:tr>
      <w:tr>
        <w:tc>
          <w:tcPr>
            <w:tcW w:type="dxa" w:w="1296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PUR-S002</w:t>
            </w:r>
          </w:p>
        </w:tc>
        <w:tc>
          <w:tcPr>
            <w:tcW w:type="dxa" w:w="2016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Shree Jagannath Temple Administration (SJTA)</w:t>
            </w:r>
          </w:p>
        </w:tc>
        <w:tc>
          <w:tcPr>
            <w:tcW w:type="dxa" w:w="3024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Record of Rights (RoR) &amp; Sevayat Nijoga Niti Guidelines of Shri Jagannath Temple</w:t>
            </w:r>
          </w:p>
        </w:tc>
        <w:tc>
          <w:tcPr>
            <w:tcW w:type="dxa" w:w="1584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Statutory Temple Record (Tier 1)</w:t>
            </w:r>
          </w:p>
        </w:tc>
        <w:tc>
          <w:tcPr>
            <w:tcW w:type="dxa" w:w="1440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https://shreejagannatha.in</w:t>
            </w:r>
          </w:p>
        </w:tc>
      </w:tr>
      <w:tr>
        <w:tc>
          <w:tcPr>
            <w:tcW w:type="dxa" w:w="129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PUR-S008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Oxford University Press / Heidelberg University</w:t>
            </w:r>
          </w:p>
        </w:tc>
        <w:tc>
          <w:tcPr>
            <w:tcW w:type="dxa" w:w="302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The Cult of Jagannath and the Regional Tradition of Orissa (Orissa Research Project)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Academic Monograph (Tier 2)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https://doi.org/10.1093/oso/9780195610819.001.0001</w:t>
            </w:r>
          </w:p>
        </w:tc>
      </w:tr>
      <w:tr>
        <w:tc>
          <w:tcPr>
            <w:tcW w:type="dxa" w:w="1296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PUR-S010</w:t>
            </w:r>
          </w:p>
        </w:tc>
        <w:tc>
          <w:tcPr>
            <w:tcW w:type="dxa" w:w="2016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Prajnatirtha / Utkal University</w:t>
            </w:r>
          </w:p>
        </w:tc>
        <w:tc>
          <w:tcPr>
            <w:tcW w:type="dxa" w:w="3024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Daru Brahma: An Anthropological Study of the Tribal Origins of Jagannath Cult</w:t>
            </w:r>
          </w:p>
        </w:tc>
        <w:tc>
          <w:tcPr>
            <w:tcW w:type="dxa" w:w="1584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Academic Monograph (Tier 2)</w:t>
            </w:r>
          </w:p>
        </w:tc>
        <w:tc>
          <w:tcPr>
            <w:tcW w:type="dxa" w:w="1440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https://orissaculture.gov.in</w:t>
            </w:r>
          </w:p>
        </w:tc>
      </w:tr>
    </w:tbl>
    <w:p>
      <w:pPr>
        <w:spacing w:after="120"/>
      </w:pPr>
    </w:p>
    <w:sectPr w:rsidR="00FC693F" w:rsidRPr="0006063C" w:rsidSect="00034616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646E78"/>
        <w:sz w:val="17"/>
      </w:rPr>
      <w:t>PURI CULTURAL KNOWLEDGE BASE | TRADITIONAL KNOWLEDGE &amp; SCIENCES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Calibri" w:hAnsi="Calibri"/>
      <w:color w:val="212529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