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24 • INDIGENOUS &amp; TRIBAL HERITAGE</w:t>
              <w:br/>
            </w:r>
            <w:r>
              <w:rPr>
                <w:rFonts w:ascii="Georgia" w:hAnsi="Georgia"/>
                <w:b/>
                <w:color w:val="FFFFFF"/>
                <w:sz w:val="36"/>
              </w:rPr>
              <w:t>Indigenous &amp; Tribal Heritage: The Sabara Substratum of Jagannath</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Sabara Tribe Connection: Anthropological Analysis</w:t>
      </w:r>
    </w:p>
    <w:p>
      <w:pPr>
        <w:spacing w:after="120" w:line="276" w:lineRule="auto"/>
      </w:pPr>
      <w:r>
        <w:rPr>
          <w:rFonts w:ascii="Calibri" w:hAnsi="Calibri"/>
          <w:i w:val="0"/>
          <w:color w:val="212529"/>
          <w:sz w:val="22"/>
        </w:rPr>
        <w:t>While Odisha boasts 62 distinct Scheduled Tribe communities concentrated predominantly in the interior highlands (Mayurbhanj, Koraput, Sundargarh), Puri is culturally unique in preserving an archaic tribal-Brahmanic synthesis. Anthropologists and historians (Dr. Benimadhab Padhi, Verrier Elwin, Prof. Hermann Kulke) have established that Lord Jagannath originated as a wooden pillar deity (Kitung / Daru Brahma) worshipped by the Austroasiatic Sabara (Saora) tribe:</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Tribal Cultural Element</w:t>
            </w:r>
          </w:p>
        </w:tc>
        <w:tc>
          <w:tcPr>
            <w:tcW w:type="dxa" w:w="3312"/>
            <w:shd w:fill="8B1E0F"/>
            <w:tcMar>
              <w:top w:w="120" w:type="dxa"/>
              <w:bottom w:w="120" w:type="dxa"/>
              <w:left w:w="140" w:type="dxa"/>
              <w:right w:w="140" w:type="dxa"/>
            </w:tcMar>
          </w:tcPr>
          <w:p>
            <w:pPr>
              <w:jc w:val="left"/>
            </w:pPr>
            <w:r>
              <w:rPr>
                <w:rFonts w:ascii="Calibri" w:hAnsi="Calibri"/>
                <w:b/>
                <w:color w:val="FFFFFF"/>
                <w:sz w:val="20"/>
              </w:rPr>
              <w:t>Sabara Custom / Practice</w:t>
            </w:r>
          </w:p>
        </w:tc>
        <w:tc>
          <w:tcPr>
            <w:tcW w:type="dxa" w:w="3888"/>
            <w:shd w:fill="8B1E0F"/>
            <w:tcMar>
              <w:top w:w="120" w:type="dxa"/>
              <w:bottom w:w="120" w:type="dxa"/>
              <w:left w:w="140" w:type="dxa"/>
              <w:right w:w="140" w:type="dxa"/>
            </w:tcMar>
          </w:tcPr>
          <w:p>
            <w:pPr>
              <w:jc w:val="left"/>
            </w:pPr>
            <w:r>
              <w:rPr>
                <w:rFonts w:ascii="Calibri" w:hAnsi="Calibri"/>
                <w:b/>
                <w:color w:val="FFFFFF"/>
                <w:sz w:val="20"/>
              </w:rPr>
              <w:t>Manifestation in Shree Jagannath Temple, Puri</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Daitapati Priestly Descent</w:t>
            </w:r>
          </w:p>
        </w:tc>
        <w:tc>
          <w:tcPr>
            <w:tcW w:type="dxa" w:w="3312"/>
            <w:shd w:fill="FFFFFF"/>
            <w:tcMar>
              <w:top w:w="100" w:type="dxa"/>
              <w:bottom w:w="100" w:type="dxa"/>
              <w:left w:w="140" w:type="dxa"/>
              <w:right w:w="140" w:type="dxa"/>
            </w:tcMar>
          </w:tcPr>
          <w:p>
            <w:pPr>
              <w:jc w:val="left"/>
            </w:pPr>
            <w:r>
              <w:rPr>
                <w:rFonts w:ascii="Calibri" w:hAnsi="Calibri"/>
                <w:color w:val="212529"/>
                <w:sz w:val="20"/>
              </w:rPr>
              <w:t>Direct lineage traced to tribal chieftain Viswavasu</w:t>
            </w:r>
          </w:p>
        </w:tc>
        <w:tc>
          <w:tcPr>
            <w:tcW w:type="dxa" w:w="3888"/>
            <w:shd w:fill="FFFFFF"/>
            <w:tcMar>
              <w:top w:w="100" w:type="dxa"/>
              <w:bottom w:w="100" w:type="dxa"/>
              <w:left w:w="140" w:type="dxa"/>
              <w:right w:w="140" w:type="dxa"/>
            </w:tcMar>
          </w:tcPr>
          <w:p>
            <w:pPr>
              <w:jc w:val="left"/>
            </w:pPr>
            <w:r>
              <w:rPr>
                <w:rFonts w:ascii="Calibri" w:hAnsi="Calibri"/>
                <w:color w:val="212529"/>
                <w:sz w:val="20"/>
              </w:rPr>
              <w:t>Daitapatis hold supreme authority over the deities during intimate, non-Vedic ceremonies.</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Wooden Deity (Daru Brahma)</w:t>
            </w:r>
          </w:p>
        </w:tc>
        <w:tc>
          <w:tcPr>
            <w:tcW w:type="dxa" w:w="3312"/>
            <w:shd w:fill="F9F6F0"/>
            <w:tcMar>
              <w:top w:w="100" w:type="dxa"/>
              <w:bottom w:w="100" w:type="dxa"/>
              <w:left w:w="140" w:type="dxa"/>
              <w:right w:w="140" w:type="dxa"/>
            </w:tcMar>
          </w:tcPr>
          <w:p>
            <w:pPr>
              <w:jc w:val="left"/>
            </w:pPr>
            <w:r>
              <w:rPr>
                <w:rFonts w:ascii="Calibri" w:hAnsi="Calibri"/>
                <w:color w:val="212529"/>
                <w:sz w:val="20"/>
              </w:rPr>
              <w:t>Saora 'Kitung' tree totem worship</w:t>
            </w:r>
          </w:p>
        </w:tc>
        <w:tc>
          <w:tcPr>
            <w:tcW w:type="dxa" w:w="3888"/>
            <w:shd w:fill="F9F6F0"/>
            <w:tcMar>
              <w:top w:w="100" w:type="dxa"/>
              <w:bottom w:w="100" w:type="dxa"/>
              <w:left w:w="140" w:type="dxa"/>
              <w:right w:w="140" w:type="dxa"/>
            </w:tcMar>
          </w:tcPr>
          <w:p>
            <w:pPr>
              <w:jc w:val="left"/>
            </w:pPr>
            <w:r>
              <w:rPr>
                <w:rFonts w:ascii="Calibri" w:hAnsi="Calibri"/>
                <w:color w:val="212529"/>
                <w:sz w:val="20"/>
              </w:rPr>
              <w:t>Jagannath is sculpted from wood rather than stone/metal, renewed periodically via Nabakalebara.</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Kudua &amp; Raw Herbal Offerings</w:t>
            </w:r>
          </w:p>
        </w:tc>
        <w:tc>
          <w:tcPr>
            <w:tcW w:type="dxa" w:w="3312"/>
            <w:shd w:fill="FFFFFF"/>
            <w:tcMar>
              <w:top w:w="100" w:type="dxa"/>
              <w:bottom w:w="100" w:type="dxa"/>
              <w:left w:w="140" w:type="dxa"/>
              <w:right w:w="140" w:type="dxa"/>
            </w:tcMar>
          </w:tcPr>
          <w:p>
            <w:pPr>
              <w:jc w:val="left"/>
            </w:pPr>
            <w:r>
              <w:rPr>
                <w:rFonts w:ascii="Calibri" w:hAnsi="Calibri"/>
                <w:color w:val="212529"/>
                <w:sz w:val="20"/>
              </w:rPr>
              <w:t>Tribal cooking in unglazed clay vessels over woodfire</w:t>
            </w:r>
          </w:p>
        </w:tc>
        <w:tc>
          <w:tcPr>
            <w:tcW w:type="dxa" w:w="3888"/>
            <w:shd w:fill="FFFFFF"/>
            <w:tcMar>
              <w:top w:w="100" w:type="dxa"/>
              <w:bottom w:w="100" w:type="dxa"/>
              <w:left w:w="140" w:type="dxa"/>
              <w:right w:w="140" w:type="dxa"/>
            </w:tcMar>
          </w:tcPr>
          <w:p>
            <w:pPr>
              <w:jc w:val="left"/>
            </w:pPr>
            <w:r>
              <w:rPr>
                <w:rFonts w:ascii="Calibri" w:hAnsi="Calibri"/>
                <w:color w:val="212529"/>
                <w:sz w:val="20"/>
              </w:rPr>
              <w:t>Roshaghara cooking methods reflect ancient pre-Vedic community culinary traditions.</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Mourning Rites (Asoucha)</w:t>
            </w:r>
          </w:p>
        </w:tc>
        <w:tc>
          <w:tcPr>
            <w:tcW w:type="dxa" w:w="3312"/>
            <w:shd w:fill="F9F6F0"/>
            <w:tcMar>
              <w:top w:w="100" w:type="dxa"/>
              <w:bottom w:w="100" w:type="dxa"/>
              <w:left w:w="140" w:type="dxa"/>
              <w:right w:w="140" w:type="dxa"/>
            </w:tcMar>
          </w:tcPr>
          <w:p>
            <w:pPr>
              <w:jc w:val="left"/>
            </w:pPr>
            <w:r>
              <w:rPr>
                <w:rFonts w:ascii="Calibri" w:hAnsi="Calibri"/>
                <w:color w:val="212529"/>
                <w:sz w:val="20"/>
              </w:rPr>
              <w:t>Tribal death rituals and purification for deceased kin</w:t>
            </w:r>
          </w:p>
        </w:tc>
        <w:tc>
          <w:tcPr>
            <w:tcW w:type="dxa" w:w="3888"/>
            <w:shd w:fill="F9F6F0"/>
            <w:tcMar>
              <w:top w:w="100" w:type="dxa"/>
              <w:bottom w:w="100" w:type="dxa"/>
              <w:left w:w="140" w:type="dxa"/>
              <w:right w:w="140" w:type="dxa"/>
            </w:tcMar>
          </w:tcPr>
          <w:p>
            <w:pPr>
              <w:jc w:val="left"/>
            </w:pPr>
            <w:r>
              <w:rPr>
                <w:rFonts w:ascii="Calibri" w:hAnsi="Calibri"/>
                <w:color w:val="212529"/>
                <w:sz w:val="20"/>
              </w:rPr>
              <w:t>Daitapatis observe formal 10-day family bereavement mourning when old deities are buried in Koili Baikuntha.</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[ANTHROPOLOGICAL CAUTION]  </w:t>
            </w:r>
            <w:r>
              <w:rPr>
                <w:rFonts w:ascii="Calibri" w:hAnsi="Calibri"/>
                <w:b/>
                <w:color w:val="B87333"/>
                <w:sz w:val="18"/>
              </w:rPr>
              <w:t xml:space="preserve">[CONFIDENCE: HIGH]  </w:t>
            </w:r>
            <w:r>
              <w:rPr>
                <w:rFonts w:ascii="Georgia" w:hAnsi="Georgia"/>
                <w:b/>
                <w:color w:val="2C3E50"/>
                <w:sz w:val="22"/>
              </w:rPr>
              <w:t>Geographic Specificity Rule</w:t>
              <w:br/>
            </w:r>
          </w:p>
          <w:p>
            <w:pPr>
              <w:spacing w:after="0" w:line="276" w:lineRule="auto"/>
            </w:pPr>
            <w:r>
              <w:rPr>
                <w:rFonts w:ascii="Calibri" w:hAnsi="Calibri"/>
                <w:color w:val="212529"/>
                <w:sz w:val="21"/>
              </w:rPr>
              <w:t>It is vital to distinguish between the specific Sabara-Daitapati heritage of Puri and the broader tribal cultures of western and southern Odisha (Dongria Kondh, Santhal, Bonda). General tribal rituals from interior Odisha must not be incorrectly transplanted to coastal Puri.</w:t>
            </w:r>
          </w:p>
        </w:tc>
      </w:tr>
    </w:tbl>
    <w:p>
      <w:pPr>
        <w:spacing w:after="8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PUR-S010</w:t>
            </w:r>
          </w:p>
        </w:tc>
        <w:tc>
          <w:tcPr>
            <w:tcW w:type="dxa" w:w="2016"/>
            <w:shd w:fill="FFFFFF"/>
            <w:tcMar>
              <w:top w:w="100" w:type="dxa"/>
              <w:bottom w:w="100" w:type="dxa"/>
              <w:left w:w="140" w:type="dxa"/>
              <w:right w:w="140" w:type="dxa"/>
            </w:tcMar>
          </w:tcPr>
          <w:p>
            <w:pPr>
              <w:jc w:val="left"/>
            </w:pPr>
            <w:r>
              <w:rPr>
                <w:rFonts w:ascii="Calibri" w:hAnsi="Calibri"/>
                <w:color w:val="212529"/>
                <w:sz w:val="20"/>
              </w:rPr>
              <w:t>Prajnatirtha / Utkal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Daru Brahma: An Anthropological Study of the Tribal Origins of Jagannath Cult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https://orissaculture.gov.in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INDIGENOUS &amp; TRIBAL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