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33 • VISITOR GUIDE &amp; TOURISM LOGISTICS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Tourism &amp; Visitor Guide: Itineraries, Connectivity, &amp; Exploration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Comprehensive Travel Logistics &amp; Connectivity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Transit Mode</w:t>
            </w:r>
          </w:p>
        </w:tc>
        <w:tc>
          <w:tcPr>
            <w:tcW w:type="dxa" w:w="331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Terminal / Route Details</w:t>
            </w:r>
          </w:p>
        </w:tc>
        <w:tc>
          <w:tcPr>
            <w:tcW w:type="dxa" w:w="417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Practical Advice [TIME-SENSITIVE]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By Air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Biju Patnaik International Airport (BBI), Bhubaneswar (60 km)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Frequent pre-paid taxis, airport shuttle buses, and national highway NH-316 connectivity (~1.5 hours).</w:t>
            </w:r>
          </w:p>
        </w:tc>
      </w:tr>
      <w:tr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By Rail</w:t>
            </w:r>
          </w:p>
        </w:tc>
        <w:tc>
          <w:tcPr>
            <w:tcW w:type="dxa" w:w="331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Railway Station (PURI)</w:t>
            </w:r>
          </w:p>
        </w:tc>
        <w:tc>
          <w:tcPr>
            <w:tcW w:type="dxa" w:w="417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Direct superfast &amp; Vande Bharat express connections to Kolkata, New Delhi, Chennai, Mumbai, and Hyderabad.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By Road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NH-316 (Bhubaneswar-Puri 4-lane expressway)</w:t>
            </w:r>
          </w:p>
        </w:tc>
        <w:tc>
          <w:tcPr>
            <w:tcW w:type="dxa" w:w="417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Excellent state road transport (OSRTC) buses and private luxury coaches running every 15 minutes.</w:t>
            </w:r>
          </w:p>
        </w:tc>
      </w:tr>
      <w:tr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Local Commute</w:t>
            </w:r>
          </w:p>
        </w:tc>
        <w:tc>
          <w:tcPr>
            <w:tcW w:type="dxa" w:w="331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Auto-rickshaws, cycle-rickshaws, e-rickshaws (Tuk-tuks)</w:t>
            </w:r>
          </w:p>
        </w:tc>
        <w:tc>
          <w:tcPr>
            <w:tcW w:type="dxa" w:w="417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Negotiate fares or use app-based aggregators; cycle-rickshaws ideal for crowded Grand Road lanes.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2. Curated Cultural Itineraries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1-Day Itinerary: </w:t>
      </w:r>
      <w:r>
        <w:rPr>
          <w:rFonts w:ascii="Calibri" w:hAnsi="Calibri"/>
          <w:color w:val="212529"/>
          <w:sz w:val="22"/>
        </w:rPr>
        <w:t>One-Day Essential Pilgrimage: Dawn darshan at Singhadwara &amp; Aruna Stambha (exterior/interior per eligibility), morning walk at Golden Beach, lunch of authentic Mahaprasad at Anand Bazaar, afternoon excursion to Raghurajpur Craft Village (14 km), evening arati at Swargadwar beach.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2-Day Itinerary: </w:t>
      </w:r>
      <w:r>
        <w:rPr>
          <w:rFonts w:ascii="Calibri" w:hAnsi="Calibri"/>
          <w:color w:val="212529"/>
          <w:sz w:val="22"/>
        </w:rPr>
        <w:t>Two-Day Heritage Deep Dive: Day 1: Jagannath complex, Lokanath &amp; Markandeshwar temples, Govardhan Math, evening cultural performance at beach. Day 2: Morning scenic drive along Marine Drive to Konark Sun Temple (35 km) &amp; Chandrabhaga Beach; afternoon exploration of Pipili Applique market.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C3E50"/>
          <w:sz w:val="22"/>
        </w:rPr>
        <w:t xml:space="preserve">3-Day Itinerary: </w:t>
      </w:r>
      <w:r>
        <w:rPr>
          <w:rFonts w:ascii="Calibri" w:hAnsi="Calibri"/>
          <w:color w:val="212529"/>
          <w:sz w:val="22"/>
        </w:rPr>
        <w:t>Three-Day Cultural &amp; Ecological Odyssey: Days 1 &amp; 2 as above. Day 3: Full-day boat excursion to Chilika Lake (Satapada, 50 km) for Irrawaddy dolphin watching, Alarnath Temple darshan at Brahmagiri on return journey.</w:t>
      </w: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PUR-S004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Administration Puri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District Statistical Handbook: Puri Demography, Geography &amp; Coastal Ecology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Handbook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https://puri.nic.in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VISITOR GUIDE &amp; TOURISM LOGISTICS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