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34 • VISITOR ETIQUETTE &amp; CODES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Cultural Etiquette &amp; Visitor Protocol: Sacred Norms &amp; Sensitivities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Temple Protocols &amp; Sacred Etiquette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Puri's religious heritage requires respectful adherence to established socio-religious traditions: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• </w:t>
      </w:r>
      <w:r>
        <w:rPr>
          <w:rFonts w:ascii="Calibri" w:hAnsi="Calibri"/>
          <w:color w:val="212529"/>
          <w:sz w:val="22"/>
        </w:rPr>
        <w:t>Non-Hindu Entry Regulation: Entry inside the Shree Jagannath Temple is strictly limited to practicing Hindus per statutory and centuries-old customary law. Non-Hindu visitors can view the Lion Gate, Aruna Stambha, and view the temple deula from the roof terrace of the Raghunandan Library.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• </w:t>
      </w:r>
      <w:r>
        <w:rPr>
          <w:rFonts w:ascii="Calibri" w:hAnsi="Calibri"/>
          <w:color w:val="212529"/>
          <w:sz w:val="22"/>
        </w:rPr>
        <w:t>Dress Code &amp; Footwear: Modest attire is required (shoulders and knees fully covered; traditional Indian dhotis/sarees/kurtas recommended). All leather items (belts, wallets, shoes) and footwear must be deposited at official cloakrooms (Jota Stand) before entering temple precincts.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• </w:t>
      </w:r>
      <w:r>
        <w:rPr>
          <w:rFonts w:ascii="Calibri" w:hAnsi="Calibri"/>
          <w:color w:val="212529"/>
          <w:sz w:val="22"/>
        </w:rPr>
        <w:t>Electronic Devices &amp; Photography: Mobile phones, cameras, smartwatches, and recording equipment are strictly prohibited inside the Jagannath Temple complex and will be confiscated.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• </w:t>
      </w:r>
      <w:r>
        <w:rPr>
          <w:rFonts w:ascii="Calibri" w:hAnsi="Calibri"/>
          <w:color w:val="212529"/>
          <w:sz w:val="22"/>
        </w:rPr>
        <w:t>Anand Bazaar Etiquette: When purchasing Mahaprasad, treat the terracotta Kudua with utmost reverence; do not step over food or touch it with left hands. Never waste Mahaprasad.</w:t>
      </w: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2. Ethical Interaction with Artisans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In heritage villages like Raghurajpur and Pipili: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• </w:t>
      </w:r>
      <w:r>
        <w:rPr>
          <w:rFonts w:ascii="Calibri" w:hAnsi="Calibri"/>
          <w:color w:val="212529"/>
          <w:sz w:val="22"/>
        </w:rPr>
        <w:t>Respect Intellectual Property: Always seek permission before photographing artists at work on their canvases or palm-leaf etchings.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• </w:t>
      </w:r>
      <w:r>
        <w:rPr>
          <w:rFonts w:ascii="Calibri" w:hAnsi="Calibri"/>
          <w:color w:val="212529"/>
          <w:sz w:val="22"/>
        </w:rPr>
        <w:t>Fair Trade Purchasing: Support traditional masters directly rather than middleman agents; appreciate that authentic stone-pigment Pattachitra takes weeks of intensive hand labor.</w:t>
      </w: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Shree Jagannath Temple Administration (SJTA)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Record of Rights (RoR) &amp; Sevayat Nijoga Niti Guidelines of Shri Jagannath Temple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Statutory Temple Record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https://shreejagannatha.in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PUR-S003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of Odisha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Cultural Heritage Gazetteer: Puri District Volume &amp; Pilgrimage Circuit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Gazetteer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https://odishatourism.gov.in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PUR-S014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Development Commissioner (Handicrafts)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Comprehensive Artisan Diagnostic Study: Raghurajpur Craft Heritage Village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Diagnostic Study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https://handicrafts.nic.in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VISITOR ETIQUETTE &amp; CODES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