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8B1E0F"/>
            <w:tcMar>
              <w:top w:w="200" w:type="dxa"/>
              <w:bottom w:w="200" w:type="dxa"/>
              <w:left w:w="240" w:type="dxa"/>
              <w:right w:w="240" w:type="dxa"/>
            </w:tcMar>
          </w:tcPr>
          <w:p>
            <w:pPr>
              <w:spacing w:after="80"/>
              <w:jc w:val="left"/>
            </w:pPr>
            <w:r>
              <w:rPr>
                <w:rFonts w:ascii="Calibri" w:hAnsi="Calibri"/>
                <w:b/>
                <w:color w:val="C58F27"/>
                <w:sz w:val="19"/>
              </w:rPr>
              <w:t>DOCUMENT 37 • CONSERVATION &amp; PRESERVATION</w:t>
              <w:br/>
            </w:r>
            <w:r>
              <w:rPr>
                <w:rFonts w:ascii="Georgia" w:hAnsi="Georgia"/>
                <w:b/>
                <w:color w:val="FFFFFF"/>
                <w:sz w:val="36"/>
              </w:rPr>
              <w:t>Heritage Preservation &amp; Conservation: Challenges, Initiatives, &amp; Field Work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F0E6DC"/>
                <w:sz w:val="20"/>
              </w:rPr>
              <w:t>Puri Cultural Heritage Research Knowledge Base • Odisha, India</w:t>
            </w:r>
          </w:p>
        </w:tc>
      </w:tr>
    </w:tbl>
    <w:p>
      <w:pPr>
        <w:spacing w:after="200"/>
      </w:pPr>
    </w:p>
    <w:p>
      <w:pPr>
        <w:keepNext/>
        <w:spacing w:before="320" w:after="120"/>
      </w:pPr>
      <w:r>
        <w:rPr>
          <w:rFonts w:ascii="Georgia" w:hAnsi="Georgia"/>
          <w:b/>
          <w:color w:val="8B1E0F"/>
          <w:sz w:val="30"/>
        </w:rPr>
        <w:t>1. Monument Conservation &amp; Environmental Challenges</w:t>
      </w:r>
    </w:p>
    <w:p>
      <w:pPr>
        <w:spacing w:after="120" w:line="276" w:lineRule="auto"/>
      </w:pPr>
      <w:r>
        <w:rPr>
          <w:rFonts w:ascii="Calibri" w:hAnsi="Calibri"/>
          <w:i w:val="0"/>
          <w:color w:val="212529"/>
          <w:sz w:val="22"/>
        </w:rPr>
        <w:t>Puri's coastal location presents severe conservation challenges for historic stone architecture. Salt-laden marine air, high relative humidity (exceeding 85%), tropical cyclone impacts, and massive pilgrim footfall require continuous scientific interventions: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C7B7"/>
          <w:bottom w:val="single" w:sz="4" w:space="0" w:color="D1C7B7"/>
          <w:left w:val="none"/>
          <w:right w:val="none"/>
          <w:insideH w:val="single" w:sz="4" w:space="0" w:color="D1C7B7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160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Preservation Domain</w:t>
            </w:r>
          </w:p>
        </w:tc>
        <w:tc>
          <w:tcPr>
            <w:tcW w:type="dxa" w:w="3312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Primary Risk / Threat</w:t>
            </w:r>
          </w:p>
        </w:tc>
        <w:tc>
          <w:tcPr>
            <w:tcW w:type="dxa" w:w="3888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Institutional Intervention &amp; Modern Program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Structural Stone Corrosion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Marine salt air causing exfoliation and pitting of Khondalite stone on the 65m deula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ASI chemical preservation cell applies specialized silicone water repellents and lime mortar repointing.</w:t>
            </w:r>
          </w:p>
        </w:tc>
      </w:tr>
      <w:tr>
        <w:tc>
          <w:tcPr>
            <w:tcW w:type="dxa" w:w="216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Cyclone Damage Resilience</w:t>
            </w:r>
          </w:p>
        </w:tc>
        <w:tc>
          <w:tcPr>
            <w:tcW w:type="dxa" w:w="331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High-velocity wind damage and saline ingress during major cyclonic storms (e.g. Cyclone Fani 2019)</w:t>
            </w:r>
          </w:p>
        </w:tc>
        <w:tc>
          <w:tcPr>
            <w:tcW w:type="dxa" w:w="388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State Disaster Management Authority (OSDMA) and ASI structural reinforcement of roofs and boundary walls.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Urban Heritage Redevelopment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Encroachments and congestion surrounding the Meghanada Pacheri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Augmentation of Basic Amenities &amp; Development of Heritage and Architecture (ABADHA) scheme; 75m sacred buffer corridor.</w:t>
            </w:r>
          </w:p>
        </w:tc>
      </w:tr>
      <w:tr>
        <w:tc>
          <w:tcPr>
            <w:tcW w:type="dxa" w:w="216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Intangible Craft Survival</w:t>
            </w:r>
          </w:p>
        </w:tc>
        <w:tc>
          <w:tcPr>
            <w:tcW w:type="dxa" w:w="331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Economic vulnerability of younger generation artisans shifting to service jobs</w:t>
            </w:r>
          </w:p>
        </w:tc>
        <w:tc>
          <w:tcPr>
            <w:tcW w:type="dxa" w:w="388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ODISHA Crafts, ORMAS skill centers, national craft stipends, and GI tag enforcement.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Georgia" w:hAnsi="Georgia"/>
          <w:b/>
          <w:color w:val="8B1E0F"/>
          <w:sz w:val="30"/>
        </w:rPr>
        <w:t>2. Future Field Research Recommendations</w:t>
      </w:r>
    </w:p>
    <w:p>
      <w:pPr>
        <w:spacing w:after="120" w:line="276" w:lineRule="auto"/>
      </w:pPr>
      <w:r>
        <w:rPr>
          <w:rFonts w:ascii="Calibri" w:hAnsi="Calibri"/>
          <w:i w:val="0"/>
          <w:color w:val="212529"/>
          <w:sz w:val="22"/>
        </w:rPr>
        <w:t>To further deepen academic and digital archives, upcoming multidisciplinary field research teams should prioritize: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1. </w:t>
      </w:r>
      <w:r>
        <w:rPr>
          <w:rFonts w:ascii="Calibri" w:hAnsi="Calibri"/>
          <w:color w:val="212529"/>
          <w:sz w:val="22"/>
        </w:rPr>
        <w:t>Oral History Recording: Conducting high-definition audio-visual interviews with senior Daitapati and Suara servitors to document unwritten oral nitis.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2. </w:t>
      </w:r>
      <w:r>
        <w:rPr>
          <w:rFonts w:ascii="Calibri" w:hAnsi="Calibri"/>
          <w:color w:val="212529"/>
          <w:sz w:val="22"/>
        </w:rPr>
        <w:t>Palm-Leaf Manuscript Digitization: Establishing high-resolution multispectral scanning of private Matha archives (Emar, Raghunandan, Govardhan) before biological decay.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3. </w:t>
      </w:r>
      <w:r>
        <w:rPr>
          <w:rFonts w:ascii="Calibri" w:hAnsi="Calibri"/>
          <w:color w:val="212529"/>
          <w:sz w:val="22"/>
        </w:rPr>
        <w:t>Living Craft Ethnography: Documenting generational transmission of natural pigment chemistry among women artisans in Raghurajpur and Dandashahi.</w:t>
      </w:r>
    </w:p>
    <w:p>
      <w:pPr>
        <w:keepNext/>
        <w:spacing w:before="320" w:after="120"/>
      </w:pPr>
      <w:r>
        <w:rPr>
          <w:rFonts w:ascii="Georgia" w:hAnsi="Georgia"/>
          <w:b/>
          <w:color w:val="8B1E0F"/>
          <w:sz w:val="30"/>
        </w:rPr>
        <w:t>Document References &amp; Sources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C7B7"/>
          <w:bottom w:val="single" w:sz="4" w:space="0" w:color="D1C7B7"/>
          <w:left w:val="none"/>
          <w:right w:val="none"/>
          <w:insideH w:val="single" w:sz="4" w:space="0" w:color="D1C7B7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96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Source ID</w:t>
            </w:r>
          </w:p>
        </w:tc>
        <w:tc>
          <w:tcPr>
            <w:tcW w:type="dxa" w:w="2016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Author / Institution</w:t>
            </w:r>
          </w:p>
        </w:tc>
        <w:tc>
          <w:tcPr>
            <w:tcW w:type="dxa" w:w="3024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Title &amp; Publication</w:t>
            </w:r>
          </w:p>
        </w:tc>
        <w:tc>
          <w:tcPr>
            <w:tcW w:type="dxa" w:w="1584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Type &amp; Tier</w:t>
            </w:r>
          </w:p>
        </w:tc>
        <w:tc>
          <w:tcPr>
            <w:tcW w:type="dxa" w:w="1440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URL / Accession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PUR-S001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Archaeological Survey of India (ASI)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Architectural and Structural Conservation Reports on Shree Jagannath Temple Complex, Puri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Government Report (Tier 1)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https://asi.nic.in</w:t>
            </w:r>
          </w:p>
        </w:tc>
      </w:tr>
      <w:tr>
        <w:tc>
          <w:tcPr>
            <w:tcW w:type="dxa" w:w="129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PUR-S003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Government of Odisha</w:t>
            </w:r>
          </w:p>
        </w:tc>
        <w:tc>
          <w:tcPr>
            <w:tcW w:type="dxa" w:w="302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Odisha Cultural Heritage Gazetteer: Puri District Volume &amp; Pilgrimage Circuit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Government Gazetteer (Tier 1)</w:t>
            </w:r>
          </w:p>
        </w:tc>
        <w:tc>
          <w:tcPr>
            <w:tcW w:type="dxa" w:w="144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https://odishatourism.gov.in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PUR-S006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INTACH (Odisha State Chapter)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Listing and Documentation of Built Heritage &amp; Traditional Mathas of Puri (Shrikshetra)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Heritage Monograph (Tier 1)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https://intach.org</w:t>
            </w:r>
          </w:p>
        </w:tc>
      </w:tr>
      <w:tr>
        <w:tc>
          <w:tcPr>
            <w:tcW w:type="dxa" w:w="129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PUR-S014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Development Commissioner (Handicrafts)</w:t>
            </w:r>
          </w:p>
        </w:tc>
        <w:tc>
          <w:tcPr>
            <w:tcW w:type="dxa" w:w="302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Comprehensive Artisan Diagnostic Study: Raghurajpur Craft Heritage Village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Government Diagnostic Study (Tier 1)</w:t>
            </w:r>
          </w:p>
        </w:tc>
        <w:tc>
          <w:tcPr>
            <w:tcW w:type="dxa" w:w="144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https://handicrafts.nic.in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E78"/>
        <w:sz w:val="17"/>
      </w:rPr>
      <w:t>PURI CULTURAL KNOWLEDGE BASE | CONSERVATION &amp; PRESERVATION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