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8B1E0F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spacing w:after="80"/>
              <w:jc w:val="left"/>
            </w:pPr>
            <w:r>
              <w:rPr>
                <w:rFonts w:ascii="Calibri" w:hAnsi="Calibri"/>
                <w:b/>
                <w:color w:val="C58F27"/>
                <w:sz w:val="19"/>
              </w:rPr>
              <w:t>DOCUMENT 38 • KNOWLEDGE GRAPH &amp; ONTOLOGIES</w:t>
              <w:br/>
            </w:r>
            <w:r>
              <w:rPr>
                <w:rFonts w:ascii="Georgia" w:hAnsi="Georgia"/>
                <w:b/>
                <w:color w:val="FFFFFF"/>
                <w:sz w:val="36"/>
              </w:rPr>
              <w:t>Cultural Knowledge Graph: Entity-Relationship Schema &amp; Ontologies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F0E6DC"/>
                <w:sz w:val="20"/>
              </w:rPr>
              <w:t>Puri Cultural Heritage Research Knowledge Base • Odisha, India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Georgia" w:hAnsi="Georgia"/>
          <w:b/>
          <w:color w:val="8B1E0F"/>
          <w:sz w:val="30"/>
        </w:rPr>
        <w:t>1. Conceptual Architecture of the Puri Cultural Knowledge Graph</w:t>
      </w:r>
    </w:p>
    <w:p>
      <w:pPr>
        <w:spacing w:after="120" w:line="276" w:lineRule="auto"/>
      </w:pPr>
      <w:r>
        <w:rPr>
          <w:rFonts w:ascii="Calibri" w:hAnsi="Calibri"/>
          <w:i w:val="0"/>
          <w:color w:val="212529"/>
          <w:sz w:val="22"/>
        </w:rPr>
        <w:t>The Puri Cultural Knowledge Graph maps the complex, multi-layered spiritual, historical, and material relationships of Puri into a machine-readable ontology for search engines, knowledge bases, and AI chatbots: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C7B7"/>
          <w:bottom w:val="single" w:sz="4" w:space="0" w:color="D1C7B7"/>
          <w:left w:val="none"/>
          <w:right w:val="none"/>
          <w:insideH w:val="single" w:sz="4" w:space="0" w:color="D1C7B7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Source Entity (ID &amp; Name)</w:t>
            </w:r>
          </w:p>
        </w:tc>
        <w:tc>
          <w:tcPr>
            <w:tcW w:type="dxa" w:w="201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Relationship Predicate</w:t>
            </w:r>
          </w:p>
        </w:tc>
        <w:tc>
          <w:tcPr>
            <w:tcW w:type="dxa" w:w="2592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Entity (ID &amp; Name)</w:t>
            </w:r>
          </w:p>
        </w:tc>
        <w:tc>
          <w:tcPr>
            <w:tcW w:type="dxa" w:w="2448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Thematic Context / Domain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ENT-001 (Shree Jagannath Temple)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LOCATED_IN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GEO-001 (Puri City / Shankha Kshetra)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Sacred Geography</w:t>
            </w:r>
          </w:p>
        </w:tc>
      </w:tr>
      <w:tr>
        <w:tc>
          <w:tcPr>
            <w:tcW w:type="dxa" w:w="230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ENT-001 (Shree Jagannath Temple)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BUILT_BY</w:t>
            </w:r>
          </w:p>
        </w:tc>
        <w:tc>
          <w:tcPr>
            <w:tcW w:type="dxa" w:w="259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PERS-001 (Anantavarman Chodaganga Deva)</w:t>
            </w:r>
          </w:p>
        </w:tc>
        <w:tc>
          <w:tcPr>
            <w:tcW w:type="dxa" w:w="244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Historical Architecture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ENT-001 (Shree Jagannath Temple)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ENSHRINES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DEITY-001 (Chaturdha Murti / Jagannath Triad)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Theology</w:t>
            </w:r>
          </w:p>
        </w:tc>
      </w:tr>
      <w:tr>
        <w:tc>
          <w:tcPr>
            <w:tcW w:type="dxa" w:w="230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FEST-003 (Rath Yatra)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ORIGINATES_FROM</w:t>
            </w:r>
          </w:p>
        </w:tc>
        <w:tc>
          <w:tcPr>
            <w:tcW w:type="dxa" w:w="259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ENT-001 (Shree Jagannath Temple)</w:t>
            </w:r>
          </w:p>
        </w:tc>
        <w:tc>
          <w:tcPr>
            <w:tcW w:type="dxa" w:w="244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Ritual Procession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FEST-003 (Rath Yatra)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TERMINATES_AT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SITE-002 (Gundicha Temple)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Ritual Geography</w:t>
            </w:r>
          </w:p>
        </w:tc>
      </w:tr>
      <w:tr>
        <w:tc>
          <w:tcPr>
            <w:tcW w:type="dxa" w:w="230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FEST-003 (Rath Yatra)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USES_CHARIOT</w:t>
            </w:r>
          </w:p>
        </w:tc>
        <w:tc>
          <w:tcPr>
            <w:tcW w:type="dxa" w:w="259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CHARIOT-001 (Nandighosh Chariot)</w:t>
            </w:r>
          </w:p>
        </w:tc>
        <w:tc>
          <w:tcPr>
            <w:tcW w:type="dxa" w:w="244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Sacred Engineering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CRAFT-001 (Odisha Pattachitra)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ORIGINATED_FROM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RITUAL-001 (Anavasara Anasara Pati Ritual)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Artistic Lineage</w:t>
            </w:r>
          </w:p>
        </w:tc>
      </w:tr>
      <w:tr>
        <w:tc>
          <w:tcPr>
            <w:tcW w:type="dxa" w:w="230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CRAFT-001 (Odisha Pattachitra)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PRODUCED_AT</w:t>
            </w:r>
          </w:p>
        </w:tc>
        <w:tc>
          <w:tcPr>
            <w:tcW w:type="dxa" w:w="259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VILLAGE-001 (Raghurajpur Heritage Village)</w:t>
            </w:r>
          </w:p>
        </w:tc>
        <w:tc>
          <w:tcPr>
            <w:tcW w:type="dxa" w:w="244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Geographical Cluster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FOOD-001 (Mahaprasad)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PREPARED_IN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KITCHEN-001 (Roshaghara 752 Hearths)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Culinary Sacred System</w:t>
            </w:r>
          </w:p>
        </w:tc>
      </w:tr>
      <w:tr>
        <w:tc>
          <w:tcPr>
            <w:tcW w:type="dxa" w:w="230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FOOD-001 (Mahaprasad)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CONSECRATED_BY</w:t>
            </w:r>
          </w:p>
        </w:tc>
        <w:tc>
          <w:tcPr>
            <w:tcW w:type="dxa" w:w="259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DEITY-004 (Maa Vimala Tantric Peetha)</w:t>
            </w:r>
          </w:p>
        </w:tc>
        <w:tc>
          <w:tcPr>
            <w:tcW w:type="dxa" w:w="244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Tantric-Vaishnava Consecration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FOOD-003 (Odisha Rasagola)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OFFERED_DURING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RITUAL-006 (Niladri Bije Ritual)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Culinary-Ritual Nexus</w:t>
            </w:r>
          </w:p>
        </w:tc>
      </w:tr>
      <w:tr>
        <w:tc>
          <w:tcPr>
            <w:tcW w:type="dxa" w:w="230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DANCE-001 (Classical Odissi)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EVOLVED_FROM</w:t>
            </w:r>
          </w:p>
        </w:tc>
        <w:tc>
          <w:tcPr>
            <w:tcW w:type="dxa" w:w="259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TRADITION-001 (Mahari Temple Dance &amp; Gotipua)</w:t>
            </w:r>
          </w:p>
        </w:tc>
        <w:tc>
          <w:tcPr>
            <w:tcW w:type="dxa" w:w="244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Classical Performance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Georgia" w:hAnsi="Georgia"/>
          <w:b/>
          <w:color w:val="8B1E0F"/>
          <w:sz w:val="30"/>
        </w:rPr>
        <w:t>Document References &amp; Sources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C7B7"/>
          <w:bottom w:val="single" w:sz="4" w:space="0" w:color="D1C7B7"/>
          <w:left w:val="none"/>
          <w:right w:val="none"/>
          <w:insideH w:val="single" w:sz="4" w:space="0" w:color="D1C7B7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Source ID</w:t>
            </w:r>
          </w:p>
        </w:tc>
        <w:tc>
          <w:tcPr>
            <w:tcW w:type="dxa" w:w="201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Author / Institution</w:t>
            </w:r>
          </w:p>
        </w:tc>
        <w:tc>
          <w:tcPr>
            <w:tcW w:type="dxa" w:w="302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Title &amp; Publication</w:t>
            </w:r>
          </w:p>
        </w:tc>
        <w:tc>
          <w:tcPr>
            <w:tcW w:type="dxa" w:w="158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Type &amp; Tier</w:t>
            </w:r>
          </w:p>
        </w:tc>
        <w:tc>
          <w:tcPr>
            <w:tcW w:type="dxa" w:w="1440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URL / Accession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PUR-S002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Shree Jagannath Temple Administration (SJTA)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Record of Rights (RoR) &amp; Sevayat Nijoga Niti Guidelines of Shri Jagannath Temple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Statutory Temple Record (Tier 1)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https://shreejagannatha.in</w:t>
            </w:r>
          </w:p>
        </w:tc>
      </w:tr>
      <w:tr>
        <w:tc>
          <w:tcPr>
            <w:tcW w:type="dxa" w:w="129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PUR-S003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of Odisha</w:t>
            </w:r>
          </w:p>
        </w:tc>
        <w:tc>
          <w:tcPr>
            <w:tcW w:type="dxa" w:w="302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Odisha Cultural Heritage Gazetteer: Puri District Volume &amp; Pilgrimage Circuit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Gazetteer (Tier 1)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https://odishatourism.gov.in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PUR-S008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Oxford University Press / Heidelberg University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The Cult of Jagannath and the Regional Tradition of Orissa (Orissa Research Project)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Academic Monograph (Tier 2)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https://doi.org/10.1093/oso/9780195610819.001.0001</w:t>
            </w:r>
          </w:p>
        </w:tc>
      </w:tr>
      <w:tr>
        <w:tc>
          <w:tcPr>
            <w:tcW w:type="dxa" w:w="129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PUR-S014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Development Commissioner (Handicrafts)</w:t>
            </w:r>
          </w:p>
        </w:tc>
        <w:tc>
          <w:tcPr>
            <w:tcW w:type="dxa" w:w="302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Comprehensive Artisan Diagnostic Study: Raghurajpur Craft Heritage Village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Diagnostic Study (Tier 1)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https://handicrafts.nic.in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E78"/>
        <w:sz w:val="17"/>
      </w:rPr>
      <w:t>PURI CULTURAL KNOWLEDGE BASE | KNOWLEDGE GRAPH &amp; ONTOLOGIES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