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45 • MASTER RESEARCH SYNTHESIS</w:t>
              <w:br/>
            </w:r>
            <w:r>
              <w:rPr>
                <w:rFonts w:ascii="Georgia" w:hAnsi="Georgia"/>
                <w:b/>
                <w:color w:val="FFFFFF"/>
                <w:sz w:val="36"/>
              </w:rPr>
              <w:t>PURI MASTER RESEARCH SYNTHESIS: The Definitive Cultural Encyclopedia</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Part 1: Executive Cultural Heritage Synthesis</w:t>
      </w:r>
    </w:p>
    <w:p>
      <w:pPr>
        <w:spacing w:after="120" w:line="276" w:lineRule="auto"/>
      </w:pPr>
      <w:r>
        <w:rPr>
          <w:rFonts w:ascii="Calibri" w:hAnsi="Calibri"/>
          <w:i w:val="0"/>
          <w:color w:val="212529"/>
          <w:sz w:val="22"/>
        </w:rPr>
        <w:t>This Master Document synthesizes the complete 45-volume research repository dedicated to Puri, Odisha, India. Conceived as the core knowledge asset for an interactive cultural heritage platform, it integrates archaeological evidence, sacred geography, dynastic epigraphy, living rituals, classical performing arts, GI-tagged crafts, and digital platform assets into a unified reference framework.</w:t>
      </w:r>
    </w:p>
    <w:p>
      <w:pPr>
        <w:keepNext/>
        <w:spacing w:before="320" w:after="120"/>
      </w:pPr>
      <w:r>
        <w:rPr>
          <w:rFonts w:ascii="Georgia" w:hAnsi="Georgia"/>
          <w:b/>
          <w:color w:val="8B1E0F"/>
          <w:sz w:val="30"/>
        </w:rPr>
        <w:t>Part 2: Summary of the 45-Document Research Corpus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2340"/>
        <w:gridCol w:w="2340"/>
        <w:gridCol w:w="2340"/>
        <w:gridCol w:w="2340"/>
      </w:tblGrid>
      <w:tr>
        <w:tc>
          <w:tcPr>
            <w:tcW w:type="dxa" w:w="1584"/>
            <w:shd w:fill="8B1E0F"/>
            <w:tcMar>
              <w:top w:w="120" w:type="dxa"/>
              <w:bottom w:w="120" w:type="dxa"/>
              <w:left w:w="140" w:type="dxa"/>
              <w:right w:w="140" w:type="dxa"/>
            </w:tcMar>
          </w:tcPr>
          <w:p>
            <w:pPr>
              <w:jc w:val="left"/>
            </w:pPr>
            <w:r>
              <w:rPr>
                <w:rFonts w:ascii="Calibri" w:hAnsi="Calibri"/>
                <w:b/>
                <w:color w:val="FFFFFF"/>
                <w:sz w:val="20"/>
              </w:rPr>
              <w:t>Volume / Doc Number</w:t>
            </w:r>
          </w:p>
        </w:tc>
        <w:tc>
          <w:tcPr>
            <w:tcW w:type="dxa" w:w="2592"/>
            <w:shd w:fill="8B1E0F"/>
            <w:tcMar>
              <w:top w:w="120" w:type="dxa"/>
              <w:bottom w:w="120" w:type="dxa"/>
              <w:left w:w="140" w:type="dxa"/>
              <w:right w:w="140" w:type="dxa"/>
            </w:tcMar>
          </w:tcPr>
          <w:p>
            <w:pPr>
              <w:jc w:val="left"/>
            </w:pPr>
            <w:r>
              <w:rPr>
                <w:rFonts w:ascii="Calibri" w:hAnsi="Calibri"/>
                <w:b/>
                <w:color w:val="FFFFFF"/>
                <w:sz w:val="20"/>
              </w:rPr>
              <w:t>Document Title</w:t>
            </w:r>
          </w:p>
        </w:tc>
        <w:tc>
          <w:tcPr>
            <w:tcW w:type="dxa" w:w="2016"/>
            <w:shd w:fill="8B1E0F"/>
            <w:tcMar>
              <w:top w:w="120" w:type="dxa"/>
              <w:bottom w:w="120" w:type="dxa"/>
              <w:left w:w="140" w:type="dxa"/>
              <w:right w:w="140" w:type="dxa"/>
            </w:tcMar>
          </w:tcPr>
          <w:p>
            <w:pPr>
              <w:jc w:val="left"/>
            </w:pPr>
            <w:r>
              <w:rPr>
                <w:rFonts w:ascii="Calibri" w:hAnsi="Calibri"/>
                <w:b/>
                <w:color w:val="FFFFFF"/>
                <w:sz w:val="20"/>
              </w:rPr>
              <w:t>Thematic Domain</w:t>
            </w:r>
          </w:p>
        </w:tc>
        <w:tc>
          <w:tcPr>
            <w:tcW w:type="dxa" w:w="3168"/>
            <w:shd w:fill="8B1E0F"/>
            <w:tcMar>
              <w:top w:w="120" w:type="dxa"/>
              <w:bottom w:w="120" w:type="dxa"/>
              <w:left w:w="140" w:type="dxa"/>
              <w:right w:w="140" w:type="dxa"/>
            </w:tcMar>
          </w:tcPr>
          <w:p>
            <w:pPr>
              <w:jc w:val="left"/>
            </w:pPr>
            <w:r>
              <w:rPr>
                <w:rFonts w:ascii="Calibri" w:hAnsi="Calibri"/>
                <w:b/>
                <w:color w:val="FFFFFF"/>
                <w:sz w:val="20"/>
              </w:rPr>
              <w:t>Primary Focus &amp; Assets</w:t>
            </w:r>
          </w:p>
        </w:tc>
      </w:tr>
      <w:tr>
        <w:tc>
          <w:tcPr>
            <w:tcW w:type="dxa" w:w="1584"/>
            <w:shd w:fill="FFFFFF"/>
            <w:tcMar>
              <w:top w:w="100" w:type="dxa"/>
              <w:bottom w:w="100" w:type="dxa"/>
              <w:left w:w="140" w:type="dxa"/>
              <w:right w:w="140" w:type="dxa"/>
            </w:tcMar>
          </w:tcPr>
          <w:p>
            <w:pPr>
              <w:jc w:val="left"/>
            </w:pPr>
            <w:r>
              <w:rPr>
                <w:rFonts w:ascii="Calibri" w:hAnsi="Calibri"/>
                <w:color w:val="212529"/>
                <w:sz w:val="20"/>
              </w:rPr>
              <w:t>01 - 03</w:t>
            </w:r>
          </w:p>
        </w:tc>
        <w:tc>
          <w:tcPr>
            <w:tcW w:type="dxa" w:w="2592"/>
            <w:shd w:fill="FFFFFF"/>
            <w:tcMar>
              <w:top w:w="100" w:type="dxa"/>
              <w:bottom w:w="100" w:type="dxa"/>
              <w:left w:w="140" w:type="dxa"/>
              <w:right w:w="140" w:type="dxa"/>
            </w:tcMar>
          </w:tcPr>
          <w:p>
            <w:pPr>
              <w:jc w:val="left"/>
            </w:pPr>
            <w:r>
              <w:rPr>
                <w:rFonts w:ascii="Calibri" w:hAnsi="Calibri"/>
                <w:color w:val="212529"/>
                <w:sz w:val="20"/>
              </w:rPr>
              <w:t>Overview, Geography, &amp; Complete History</w:t>
            </w:r>
          </w:p>
        </w:tc>
        <w:tc>
          <w:tcPr>
            <w:tcW w:type="dxa" w:w="2016"/>
            <w:shd w:fill="FFFFFF"/>
            <w:tcMar>
              <w:top w:w="100" w:type="dxa"/>
              <w:bottom w:w="100" w:type="dxa"/>
              <w:left w:w="140" w:type="dxa"/>
              <w:right w:w="140" w:type="dxa"/>
            </w:tcMar>
          </w:tcPr>
          <w:p>
            <w:pPr>
              <w:jc w:val="left"/>
            </w:pPr>
            <w:r>
              <w:rPr>
                <w:rFonts w:ascii="Calibri" w:hAnsi="Calibri"/>
                <w:color w:val="212529"/>
                <w:sz w:val="20"/>
              </w:rPr>
              <w:t>Foundational Studies</w:t>
            </w:r>
          </w:p>
        </w:tc>
        <w:tc>
          <w:tcPr>
            <w:tcW w:type="dxa" w:w="3168"/>
            <w:shd w:fill="FFFFFF"/>
            <w:tcMar>
              <w:top w:w="100" w:type="dxa"/>
              <w:bottom w:w="100" w:type="dxa"/>
              <w:left w:w="140" w:type="dxa"/>
              <w:right w:w="140" w:type="dxa"/>
            </w:tcMar>
          </w:tcPr>
          <w:p>
            <w:pPr>
              <w:jc w:val="left"/>
            </w:pPr>
            <w:r>
              <w:rPr>
                <w:rFonts w:ascii="Calibri" w:hAnsi="Calibri"/>
                <w:color w:val="212529"/>
                <w:sz w:val="20"/>
              </w:rPr>
              <w:t>Administrative profile, Shankha Kshetra geometry, Ganga/Gajapati/Maratha/British historical chronology.</w:t>
            </w:r>
          </w:p>
        </w:tc>
      </w:tr>
      <w:tr>
        <w:tc>
          <w:tcPr>
            <w:tcW w:type="dxa" w:w="1584"/>
            <w:shd w:fill="F9F6F0"/>
            <w:tcMar>
              <w:top w:w="100" w:type="dxa"/>
              <w:bottom w:w="100" w:type="dxa"/>
              <w:left w:w="140" w:type="dxa"/>
              <w:right w:w="140" w:type="dxa"/>
            </w:tcMar>
          </w:tcPr>
          <w:p>
            <w:pPr>
              <w:jc w:val="left"/>
            </w:pPr>
            <w:r>
              <w:rPr>
                <w:rFonts w:ascii="Calibri" w:hAnsi="Calibri"/>
                <w:color w:val="212529"/>
                <w:sz w:val="20"/>
              </w:rPr>
              <w:t>04 - 06 &amp; 09</w:t>
            </w:r>
          </w:p>
        </w:tc>
        <w:tc>
          <w:tcPr>
            <w:tcW w:type="dxa" w:w="2592"/>
            <w:shd w:fill="F9F6F0"/>
            <w:tcMar>
              <w:top w:w="100" w:type="dxa"/>
              <w:bottom w:w="100" w:type="dxa"/>
              <w:left w:w="140" w:type="dxa"/>
              <w:right w:w="140" w:type="dxa"/>
            </w:tcMar>
          </w:tcPr>
          <w:p>
            <w:pPr>
              <w:jc w:val="left"/>
            </w:pPr>
            <w:r>
              <w:rPr>
                <w:rFonts w:ascii="Calibri" w:hAnsi="Calibri"/>
                <w:color w:val="212529"/>
                <w:sz w:val="20"/>
              </w:rPr>
              <w:t>Religion, Jagannath Culture, &amp; Sacred Sites</w:t>
            </w:r>
          </w:p>
        </w:tc>
        <w:tc>
          <w:tcPr>
            <w:tcW w:type="dxa" w:w="2016"/>
            <w:shd w:fill="F9F6F0"/>
            <w:tcMar>
              <w:top w:w="100" w:type="dxa"/>
              <w:bottom w:w="100" w:type="dxa"/>
              <w:left w:w="140" w:type="dxa"/>
              <w:right w:w="140" w:type="dxa"/>
            </w:tcMar>
          </w:tcPr>
          <w:p>
            <w:pPr>
              <w:jc w:val="left"/>
            </w:pPr>
            <w:r>
              <w:rPr>
                <w:rFonts w:ascii="Calibri" w:hAnsi="Calibri"/>
                <w:color w:val="212529"/>
                <w:sz w:val="20"/>
              </w:rPr>
              <w:t>Theology &amp; Monuments</w:t>
            </w:r>
          </w:p>
        </w:tc>
        <w:tc>
          <w:tcPr>
            <w:tcW w:type="dxa" w:w="3168"/>
            <w:shd w:fill="F9F6F0"/>
            <w:tcMar>
              <w:top w:w="100" w:type="dxa"/>
              <w:bottom w:w="100" w:type="dxa"/>
              <w:left w:w="140" w:type="dxa"/>
              <w:right w:w="140" w:type="dxa"/>
            </w:tcMar>
          </w:tcPr>
          <w:p>
            <w:pPr>
              <w:jc w:val="left"/>
            </w:pPr>
            <w:r>
              <w:rPr>
                <w:rFonts w:ascii="Calibri" w:hAnsi="Calibri"/>
                <w:color w:val="212529"/>
                <w:sz w:val="20"/>
              </w:rPr>
              <w:t>Char Dham, Chaturdha Murti iconography, Nabakalebara, 65m Kalinga Deula, Pan-Indian Bhakti.</w:t>
            </w:r>
          </w:p>
        </w:tc>
      </w:tr>
      <w:tr>
        <w:tc>
          <w:tcPr>
            <w:tcW w:type="dxa" w:w="1584"/>
            <w:shd w:fill="FFFFFF"/>
            <w:tcMar>
              <w:top w:w="100" w:type="dxa"/>
              <w:bottom w:w="100" w:type="dxa"/>
              <w:left w:w="140" w:type="dxa"/>
              <w:right w:w="140" w:type="dxa"/>
            </w:tcMar>
          </w:tcPr>
          <w:p>
            <w:pPr>
              <w:jc w:val="left"/>
            </w:pPr>
            <w:r>
              <w:rPr>
                <w:rFonts w:ascii="Calibri" w:hAnsi="Calibri"/>
                <w:color w:val="212529"/>
                <w:sz w:val="20"/>
              </w:rPr>
              <w:t>07, 08 &amp; 29</w:t>
            </w:r>
          </w:p>
        </w:tc>
        <w:tc>
          <w:tcPr>
            <w:tcW w:type="dxa" w:w="2592"/>
            <w:shd w:fill="FFFFFF"/>
            <w:tcMar>
              <w:top w:w="100" w:type="dxa"/>
              <w:bottom w:w="100" w:type="dxa"/>
              <w:left w:w="140" w:type="dxa"/>
              <w:right w:w="140" w:type="dxa"/>
            </w:tcMar>
          </w:tcPr>
          <w:p>
            <w:pPr>
              <w:jc w:val="left"/>
            </w:pPr>
            <w:r>
              <w:rPr>
                <w:rFonts w:ascii="Calibri" w:hAnsi="Calibri"/>
                <w:color w:val="212529"/>
                <w:sz w:val="20"/>
              </w:rPr>
              <w:t>Festivals, Rath Yatra, &amp; Festival Database</w:t>
            </w:r>
          </w:p>
        </w:tc>
        <w:tc>
          <w:tcPr>
            <w:tcW w:type="dxa" w:w="2016"/>
            <w:shd w:fill="FFFFFF"/>
            <w:tcMar>
              <w:top w:w="100" w:type="dxa"/>
              <w:bottom w:w="100" w:type="dxa"/>
              <w:left w:w="140" w:type="dxa"/>
              <w:right w:w="140" w:type="dxa"/>
            </w:tcMar>
          </w:tcPr>
          <w:p>
            <w:pPr>
              <w:jc w:val="left"/>
            </w:pPr>
            <w:r>
              <w:rPr>
                <w:rFonts w:ascii="Calibri" w:hAnsi="Calibri"/>
                <w:color w:val="212529"/>
                <w:sz w:val="20"/>
              </w:rPr>
              <w:t>Ritual Festivities</w:t>
            </w:r>
          </w:p>
        </w:tc>
        <w:tc>
          <w:tcPr>
            <w:tcW w:type="dxa" w:w="3168"/>
            <w:shd w:fill="FFFFFF"/>
            <w:tcMar>
              <w:top w:w="100" w:type="dxa"/>
              <w:bottom w:w="100" w:type="dxa"/>
              <w:left w:w="140" w:type="dxa"/>
              <w:right w:w="140" w:type="dxa"/>
            </w:tcMar>
          </w:tcPr>
          <w:p>
            <w:pPr>
              <w:jc w:val="left"/>
            </w:pPr>
            <w:r>
              <w:rPr>
                <w:rFonts w:ascii="Calibri" w:hAnsi="Calibri"/>
                <w:color w:val="212529"/>
                <w:sz w:val="20"/>
              </w:rPr>
              <w:t>Dwadasa Yatras, three chariots architecture, Chhera Pahara, Suna Besha, 20+ festival database.</w:t>
            </w:r>
          </w:p>
        </w:tc>
      </w:tr>
      <w:tr>
        <w:tc>
          <w:tcPr>
            <w:tcW w:type="dxa" w:w="1584"/>
            <w:shd w:fill="F9F6F0"/>
            <w:tcMar>
              <w:top w:w="100" w:type="dxa"/>
              <w:bottom w:w="100" w:type="dxa"/>
              <w:left w:w="140" w:type="dxa"/>
              <w:right w:w="140" w:type="dxa"/>
            </w:tcMar>
          </w:tcPr>
          <w:p>
            <w:pPr>
              <w:jc w:val="left"/>
            </w:pPr>
            <w:r>
              <w:rPr>
                <w:rFonts w:ascii="Calibri" w:hAnsi="Calibri"/>
                <w:color w:val="212529"/>
                <w:sz w:val="20"/>
              </w:rPr>
              <w:t>10, 20 &amp; 30</w:t>
            </w:r>
          </w:p>
        </w:tc>
        <w:tc>
          <w:tcPr>
            <w:tcW w:type="dxa" w:w="2592"/>
            <w:shd w:fill="F9F6F0"/>
            <w:tcMar>
              <w:top w:w="100" w:type="dxa"/>
              <w:bottom w:w="100" w:type="dxa"/>
              <w:left w:w="140" w:type="dxa"/>
              <w:right w:w="140" w:type="dxa"/>
            </w:tcMar>
          </w:tcPr>
          <w:p>
            <w:pPr>
              <w:jc w:val="left"/>
            </w:pPr>
            <w:r>
              <w:rPr>
                <w:rFonts w:ascii="Calibri" w:hAnsi="Calibri"/>
                <w:color w:val="212529"/>
                <w:sz w:val="20"/>
              </w:rPr>
              <w:t>Food &amp; Cuisine, Mahaprasad, &amp; Food Database</w:t>
            </w:r>
          </w:p>
        </w:tc>
        <w:tc>
          <w:tcPr>
            <w:tcW w:type="dxa" w:w="2016"/>
            <w:shd w:fill="F9F6F0"/>
            <w:tcMar>
              <w:top w:w="100" w:type="dxa"/>
              <w:bottom w:w="100" w:type="dxa"/>
              <w:left w:w="140" w:type="dxa"/>
              <w:right w:w="140" w:type="dxa"/>
            </w:tcMar>
          </w:tcPr>
          <w:p>
            <w:pPr>
              <w:jc w:val="left"/>
            </w:pPr>
            <w:r>
              <w:rPr>
                <w:rFonts w:ascii="Calibri" w:hAnsi="Calibri"/>
                <w:color w:val="212529"/>
                <w:sz w:val="20"/>
              </w:rPr>
              <w:t>Culinary Heritage</w:t>
            </w:r>
          </w:p>
        </w:tc>
        <w:tc>
          <w:tcPr>
            <w:tcW w:type="dxa" w:w="3168"/>
            <w:shd w:fill="F9F6F0"/>
            <w:tcMar>
              <w:top w:w="100" w:type="dxa"/>
              <w:bottom w:w="100" w:type="dxa"/>
              <w:left w:w="140" w:type="dxa"/>
              <w:right w:w="140" w:type="dxa"/>
            </w:tcMar>
          </w:tcPr>
          <w:p>
            <w:pPr>
              <w:jc w:val="left"/>
            </w:pPr>
            <w:r>
              <w:rPr>
                <w:rFonts w:ascii="Calibri" w:hAnsi="Calibri"/>
                <w:color w:val="212529"/>
                <w:sz w:val="20"/>
              </w:rPr>
              <w:t>Roshaghara 752 hearths, 56 Bhog, Dalma, Pakhala, Rasagola GI dispute, 25+ food database.</w:t>
            </w:r>
          </w:p>
        </w:tc>
      </w:tr>
      <w:tr>
        <w:tc>
          <w:tcPr>
            <w:tcW w:type="dxa" w:w="1584"/>
            <w:shd w:fill="FFFFFF"/>
            <w:tcMar>
              <w:top w:w="100" w:type="dxa"/>
              <w:bottom w:w="100" w:type="dxa"/>
              <w:left w:w="140" w:type="dxa"/>
              <w:right w:w="140" w:type="dxa"/>
            </w:tcMar>
          </w:tcPr>
          <w:p>
            <w:pPr>
              <w:jc w:val="left"/>
            </w:pPr>
            <w:r>
              <w:rPr>
                <w:rFonts w:ascii="Calibri" w:hAnsi="Calibri"/>
                <w:color w:val="212529"/>
                <w:sz w:val="20"/>
              </w:rPr>
              <w:t>11 - 15 &amp; 31</w:t>
            </w:r>
          </w:p>
        </w:tc>
        <w:tc>
          <w:tcPr>
            <w:tcW w:type="dxa" w:w="2592"/>
            <w:shd w:fill="FFFFFF"/>
            <w:tcMar>
              <w:top w:w="100" w:type="dxa"/>
              <w:bottom w:w="100" w:type="dxa"/>
              <w:left w:w="140" w:type="dxa"/>
              <w:right w:w="140" w:type="dxa"/>
            </w:tcMar>
          </w:tcPr>
          <w:p>
            <w:pPr>
              <w:jc w:val="left"/>
            </w:pPr>
            <w:r>
              <w:rPr>
                <w:rFonts w:ascii="Calibri" w:hAnsi="Calibri"/>
                <w:color w:val="212529"/>
                <w:sz w:val="20"/>
              </w:rPr>
              <w:t>Textiles, Crafts, Pattachitra, Music, &amp; Dance</w:t>
            </w:r>
          </w:p>
        </w:tc>
        <w:tc>
          <w:tcPr>
            <w:tcW w:type="dxa" w:w="2016"/>
            <w:shd w:fill="FFFFFF"/>
            <w:tcMar>
              <w:top w:w="100" w:type="dxa"/>
              <w:bottom w:w="100" w:type="dxa"/>
              <w:left w:w="140" w:type="dxa"/>
              <w:right w:w="140" w:type="dxa"/>
            </w:tcMar>
          </w:tcPr>
          <w:p>
            <w:pPr>
              <w:jc w:val="left"/>
            </w:pPr>
            <w:r>
              <w:rPr>
                <w:rFonts w:ascii="Calibri" w:hAnsi="Calibri"/>
                <w:color w:val="212529"/>
                <w:sz w:val="20"/>
              </w:rPr>
              <w:t>Arts &amp; Performance</w:t>
            </w:r>
          </w:p>
        </w:tc>
        <w:tc>
          <w:tcPr>
            <w:tcW w:type="dxa" w:w="3168"/>
            <w:shd w:fill="FFFFFF"/>
            <w:tcMar>
              <w:top w:w="100" w:type="dxa"/>
              <w:bottom w:w="100" w:type="dxa"/>
              <w:left w:w="140" w:type="dxa"/>
              <w:right w:w="140" w:type="dxa"/>
            </w:tcMar>
          </w:tcPr>
          <w:p>
            <w:pPr>
              <w:jc w:val="left"/>
            </w:pPr>
            <w:r>
              <w:rPr>
                <w:rFonts w:ascii="Calibri" w:hAnsi="Calibri"/>
                <w:color w:val="212529"/>
                <w:sz w:val="20"/>
              </w:rPr>
              <w:t>Khandua Pata, Raghurajpur heritage village, Tala Patti, Odissi Sangita, Gotipua, Maharis, 20+ craft database.</w:t>
            </w:r>
          </w:p>
        </w:tc>
      </w:tr>
      <w:tr>
        <w:tc>
          <w:tcPr>
            <w:tcW w:type="dxa" w:w="1584"/>
            <w:shd w:fill="F9F6F0"/>
            <w:tcMar>
              <w:top w:w="100" w:type="dxa"/>
              <w:bottom w:w="100" w:type="dxa"/>
              <w:left w:w="140" w:type="dxa"/>
              <w:right w:w="140" w:type="dxa"/>
            </w:tcMar>
          </w:tcPr>
          <w:p>
            <w:pPr>
              <w:jc w:val="left"/>
            </w:pPr>
            <w:r>
              <w:rPr>
                <w:rFonts w:ascii="Calibri" w:hAnsi="Calibri"/>
                <w:color w:val="212529"/>
                <w:sz w:val="20"/>
              </w:rPr>
              <w:t>16, 17 &amp; 32</w:t>
            </w:r>
          </w:p>
        </w:tc>
        <w:tc>
          <w:tcPr>
            <w:tcW w:type="dxa" w:w="2592"/>
            <w:shd w:fill="F9F6F0"/>
            <w:tcMar>
              <w:top w:w="100" w:type="dxa"/>
              <w:bottom w:w="100" w:type="dxa"/>
              <w:left w:w="140" w:type="dxa"/>
              <w:right w:w="140" w:type="dxa"/>
            </w:tcMar>
          </w:tcPr>
          <w:p>
            <w:pPr>
              <w:jc w:val="left"/>
            </w:pPr>
            <w:r>
              <w:rPr>
                <w:rFonts w:ascii="Calibri" w:hAnsi="Calibri"/>
                <w:color w:val="212529"/>
                <w:sz w:val="20"/>
              </w:rPr>
              <w:t>Languages, Literature, Folklore, &amp; Legends</w:t>
            </w:r>
          </w:p>
        </w:tc>
        <w:tc>
          <w:tcPr>
            <w:tcW w:type="dxa" w:w="2016"/>
            <w:shd w:fill="F9F6F0"/>
            <w:tcMar>
              <w:top w:w="100" w:type="dxa"/>
              <w:bottom w:w="100" w:type="dxa"/>
              <w:left w:w="140" w:type="dxa"/>
              <w:right w:w="140" w:type="dxa"/>
            </w:tcMar>
          </w:tcPr>
          <w:p>
            <w:pPr>
              <w:jc w:val="left"/>
            </w:pPr>
            <w:r>
              <w:rPr>
                <w:rFonts w:ascii="Calibri" w:hAnsi="Calibri"/>
                <w:color w:val="212529"/>
                <w:sz w:val="20"/>
              </w:rPr>
              <w:t>Literature &amp; Lore</w:t>
            </w:r>
          </w:p>
        </w:tc>
        <w:tc>
          <w:tcPr>
            <w:tcW w:type="dxa" w:w="3168"/>
            <w:shd w:fill="F9F6F0"/>
            <w:tcMar>
              <w:top w:w="100" w:type="dxa"/>
              <w:bottom w:w="100" w:type="dxa"/>
              <w:left w:w="140" w:type="dxa"/>
              <w:right w:w="140" w:type="dxa"/>
            </w:tcMar>
          </w:tcPr>
          <w:p>
            <w:pPr>
              <w:jc w:val="left"/>
            </w:pPr>
            <w:r>
              <w:rPr>
                <w:rFonts w:ascii="Calibri" w:hAnsi="Calibri"/>
                <w:color w:val="212529"/>
                <w:sz w:val="20"/>
              </w:rPr>
              <w:t>Odia Classical Language 2014, Panchasakha texts, Indradyumna, Kanchi-Kaveri, 15+ story database.</w:t>
            </w:r>
          </w:p>
        </w:tc>
      </w:tr>
      <w:tr>
        <w:tc>
          <w:tcPr>
            <w:tcW w:type="dxa" w:w="1584"/>
            <w:shd w:fill="FFFFFF"/>
            <w:tcMar>
              <w:top w:w="100" w:type="dxa"/>
              <w:bottom w:w="100" w:type="dxa"/>
              <w:left w:w="140" w:type="dxa"/>
              <w:right w:w="140" w:type="dxa"/>
            </w:tcMar>
          </w:tcPr>
          <w:p>
            <w:pPr>
              <w:jc w:val="left"/>
            </w:pPr>
            <w:r>
              <w:rPr>
                <w:rFonts w:ascii="Calibri" w:hAnsi="Calibri"/>
                <w:color w:val="212529"/>
                <w:sz w:val="20"/>
              </w:rPr>
              <w:t>18 - 20 &amp; 28</w:t>
            </w:r>
          </w:p>
        </w:tc>
        <w:tc>
          <w:tcPr>
            <w:tcW w:type="dxa" w:w="2592"/>
            <w:shd w:fill="FFFFFF"/>
            <w:tcMar>
              <w:top w:w="100" w:type="dxa"/>
              <w:bottom w:w="100" w:type="dxa"/>
              <w:left w:w="140" w:type="dxa"/>
              <w:right w:w="140" w:type="dxa"/>
            </w:tcMar>
          </w:tcPr>
          <w:p>
            <w:pPr>
              <w:jc w:val="left"/>
            </w:pPr>
            <w:r>
              <w:rPr>
                <w:rFonts w:ascii="Calibri" w:hAnsi="Calibri"/>
                <w:color w:val="212529"/>
                <w:sz w:val="20"/>
              </w:rPr>
              <w:t>Architecture, Monuments, Museums, &amp; Sites DB</w:t>
            </w:r>
          </w:p>
        </w:tc>
        <w:tc>
          <w:tcPr>
            <w:tcW w:type="dxa" w:w="2016"/>
            <w:shd w:fill="FFFFFF"/>
            <w:tcMar>
              <w:top w:w="100" w:type="dxa"/>
              <w:bottom w:w="100" w:type="dxa"/>
              <w:left w:w="140" w:type="dxa"/>
              <w:right w:w="140" w:type="dxa"/>
            </w:tcMar>
          </w:tcPr>
          <w:p>
            <w:pPr>
              <w:jc w:val="left"/>
            </w:pPr>
            <w:r>
              <w:rPr>
                <w:rFonts w:ascii="Calibri" w:hAnsi="Calibri"/>
                <w:color w:val="212529"/>
                <w:sz w:val="20"/>
              </w:rPr>
              <w:t>Archaeology &amp; Heritage</w:t>
            </w:r>
          </w:p>
        </w:tc>
        <w:tc>
          <w:tcPr>
            <w:tcW w:type="dxa" w:w="3168"/>
            <w:shd w:fill="FFFFFF"/>
            <w:tcMar>
              <w:top w:w="100" w:type="dxa"/>
              <w:bottom w:w="100" w:type="dxa"/>
              <w:left w:w="140" w:type="dxa"/>
              <w:right w:w="140" w:type="dxa"/>
            </w:tcMar>
          </w:tcPr>
          <w:p>
            <w:pPr>
              <w:jc w:val="left"/>
            </w:pPr>
            <w:r>
              <w:rPr>
                <w:rFonts w:ascii="Calibri" w:hAnsi="Calibri"/>
                <w:color w:val="212529"/>
                <w:sz w:val="20"/>
              </w:rPr>
              <w:t>Kalinga architectural canon, Rekha/Pidha/Khakhara, Raghunandan library, 25+ heritage site database.</w:t>
            </w:r>
          </w:p>
        </w:tc>
      </w:tr>
      <w:tr>
        <w:tc>
          <w:tcPr>
            <w:tcW w:type="dxa" w:w="1584"/>
            <w:shd w:fill="F9F6F0"/>
            <w:tcMar>
              <w:top w:w="100" w:type="dxa"/>
              <w:bottom w:w="100" w:type="dxa"/>
              <w:left w:w="140" w:type="dxa"/>
              <w:right w:w="140" w:type="dxa"/>
            </w:tcMar>
          </w:tcPr>
          <w:p>
            <w:pPr>
              <w:jc w:val="left"/>
            </w:pPr>
            <w:r>
              <w:rPr>
                <w:rFonts w:ascii="Calibri" w:hAnsi="Calibri"/>
                <w:color w:val="212529"/>
                <w:sz w:val="20"/>
              </w:rPr>
              <w:t>21 - 24 &amp; 27</w:t>
            </w:r>
          </w:p>
        </w:tc>
        <w:tc>
          <w:tcPr>
            <w:tcW w:type="dxa" w:w="2592"/>
            <w:shd w:fill="F9F6F0"/>
            <w:tcMar>
              <w:top w:w="100" w:type="dxa"/>
              <w:bottom w:w="100" w:type="dxa"/>
              <w:left w:w="140" w:type="dxa"/>
              <w:right w:w="140" w:type="dxa"/>
            </w:tcMar>
          </w:tcPr>
          <w:p>
            <w:pPr>
              <w:jc w:val="left"/>
            </w:pPr>
            <w:r>
              <w:rPr>
                <w:rFonts w:ascii="Calibri" w:hAnsi="Calibri"/>
                <w:color w:val="212529"/>
                <w:sz w:val="20"/>
              </w:rPr>
              <w:t>Communities, Occupations, Tribal Roots, People</w:t>
            </w:r>
          </w:p>
        </w:tc>
        <w:tc>
          <w:tcPr>
            <w:tcW w:type="dxa" w:w="2016"/>
            <w:shd w:fill="F9F6F0"/>
            <w:tcMar>
              <w:top w:w="100" w:type="dxa"/>
              <w:bottom w:w="100" w:type="dxa"/>
              <w:left w:w="140" w:type="dxa"/>
              <w:right w:w="140" w:type="dxa"/>
            </w:tcMar>
          </w:tcPr>
          <w:p>
            <w:pPr>
              <w:jc w:val="left"/>
            </w:pPr>
            <w:r>
              <w:rPr>
                <w:rFonts w:ascii="Calibri" w:hAnsi="Calibri"/>
                <w:color w:val="212529"/>
                <w:sz w:val="20"/>
              </w:rPr>
              <w:t>Sociology &amp; Biography</w:t>
            </w:r>
          </w:p>
        </w:tc>
        <w:tc>
          <w:tcPr>
            <w:tcW w:type="dxa" w:w="3168"/>
            <w:shd w:fill="F9F6F0"/>
            <w:tcMar>
              <w:top w:w="100" w:type="dxa"/>
              <w:bottom w:w="100" w:type="dxa"/>
              <w:left w:w="140" w:type="dxa"/>
              <w:right w:w="140" w:type="dxa"/>
            </w:tcMar>
          </w:tcPr>
          <w:p>
            <w:pPr>
              <w:jc w:val="left"/>
            </w:pPr>
            <w:r>
              <w:rPr>
                <w:rFonts w:ascii="Calibri" w:hAnsi="Calibri"/>
                <w:color w:val="212529"/>
                <w:sz w:val="20"/>
              </w:rPr>
              <w:t>Chhatisa Nijoga, Sabara tribal roots, traditional knowledge systems, 25+ biographical register.</w:t>
            </w:r>
          </w:p>
        </w:tc>
      </w:tr>
      <w:tr>
        <w:tc>
          <w:tcPr>
            <w:tcW w:type="dxa" w:w="1584"/>
            <w:shd w:fill="FFFFFF"/>
            <w:tcMar>
              <w:top w:w="100" w:type="dxa"/>
              <w:bottom w:w="100" w:type="dxa"/>
              <w:left w:w="140" w:type="dxa"/>
              <w:right w:w="140" w:type="dxa"/>
            </w:tcMar>
          </w:tcPr>
          <w:p>
            <w:pPr>
              <w:jc w:val="left"/>
            </w:pPr>
            <w:r>
              <w:rPr>
                <w:rFonts w:ascii="Calibri" w:hAnsi="Calibri"/>
                <w:color w:val="212529"/>
                <w:sz w:val="20"/>
              </w:rPr>
              <w:t>25, 26, 33 - 37</w:t>
            </w:r>
          </w:p>
        </w:tc>
        <w:tc>
          <w:tcPr>
            <w:tcW w:type="dxa" w:w="2592"/>
            <w:shd w:fill="FFFFFF"/>
            <w:tcMar>
              <w:top w:w="100" w:type="dxa"/>
              <w:bottom w:w="100" w:type="dxa"/>
              <w:left w:w="140" w:type="dxa"/>
              <w:right w:w="140" w:type="dxa"/>
            </w:tcMar>
          </w:tcPr>
          <w:p>
            <w:pPr>
              <w:jc w:val="left"/>
            </w:pPr>
            <w:r>
              <w:rPr>
                <w:rFonts w:ascii="Calibri" w:hAnsi="Calibri"/>
                <w:color w:val="212529"/>
                <w:sz w:val="20"/>
              </w:rPr>
              <w:t>Landscape, Nature, Tourism, Etiquette, Conservation</w:t>
            </w:r>
          </w:p>
        </w:tc>
        <w:tc>
          <w:tcPr>
            <w:tcW w:type="dxa" w:w="2016"/>
            <w:shd w:fill="FFFFFF"/>
            <w:tcMar>
              <w:top w:w="100" w:type="dxa"/>
              <w:bottom w:w="100" w:type="dxa"/>
              <w:left w:w="140" w:type="dxa"/>
              <w:right w:w="140" w:type="dxa"/>
            </w:tcMar>
          </w:tcPr>
          <w:p>
            <w:pPr>
              <w:jc w:val="left"/>
            </w:pPr>
            <w:r>
              <w:rPr>
                <w:rFonts w:ascii="Calibri" w:hAnsi="Calibri"/>
                <w:color w:val="212529"/>
                <w:sz w:val="20"/>
              </w:rPr>
              <w:t>Environment &amp; Tourism</w:t>
            </w:r>
          </w:p>
        </w:tc>
        <w:tc>
          <w:tcPr>
            <w:tcW w:type="dxa" w:w="3168"/>
            <w:shd w:fill="FFFFFF"/>
            <w:tcMar>
              <w:top w:w="100" w:type="dxa"/>
              <w:bottom w:w="100" w:type="dxa"/>
              <w:left w:w="140" w:type="dxa"/>
              <w:right w:w="140" w:type="dxa"/>
            </w:tcMar>
          </w:tcPr>
          <w:p>
            <w:pPr>
              <w:jc w:val="left"/>
            </w:pPr>
            <w:r>
              <w:rPr>
                <w:rFonts w:ascii="Calibri" w:hAnsi="Calibri"/>
                <w:color w:val="212529"/>
                <w:sz w:val="20"/>
              </w:rPr>
              <w:t>Interconnected ecosystem, Blue Flag beach, Chilika lagoon, 1/2/3-day itineraries, ABADHA scheme.</w:t>
            </w:r>
          </w:p>
        </w:tc>
      </w:tr>
      <w:tr>
        <w:tc>
          <w:tcPr>
            <w:tcW w:type="dxa" w:w="1584"/>
            <w:shd w:fill="F9F6F0"/>
            <w:tcMar>
              <w:top w:w="100" w:type="dxa"/>
              <w:bottom w:w="100" w:type="dxa"/>
              <w:left w:w="140" w:type="dxa"/>
              <w:right w:w="140" w:type="dxa"/>
            </w:tcMar>
          </w:tcPr>
          <w:p>
            <w:pPr>
              <w:jc w:val="left"/>
            </w:pPr>
            <w:r>
              <w:rPr>
                <w:rFonts w:ascii="Calibri" w:hAnsi="Calibri"/>
                <w:color w:val="212529"/>
                <w:sz w:val="20"/>
              </w:rPr>
              <w:t>38 - 41</w:t>
            </w:r>
          </w:p>
        </w:tc>
        <w:tc>
          <w:tcPr>
            <w:tcW w:type="dxa" w:w="2592"/>
            <w:shd w:fill="F9F6F0"/>
            <w:tcMar>
              <w:top w:w="100" w:type="dxa"/>
              <w:bottom w:w="100" w:type="dxa"/>
              <w:left w:w="140" w:type="dxa"/>
              <w:right w:w="140" w:type="dxa"/>
            </w:tcMar>
          </w:tcPr>
          <w:p>
            <w:pPr>
              <w:jc w:val="left"/>
            </w:pPr>
            <w:r>
              <w:rPr>
                <w:rFonts w:ascii="Calibri" w:hAnsi="Calibri"/>
                <w:color w:val="212529"/>
                <w:sz w:val="20"/>
              </w:rPr>
              <w:t>Knowledge Graph, AI Chatbot, Quiz, &amp; Multimedia</w:t>
            </w:r>
          </w:p>
        </w:tc>
        <w:tc>
          <w:tcPr>
            <w:tcW w:type="dxa" w:w="2016"/>
            <w:shd w:fill="F9F6F0"/>
            <w:tcMar>
              <w:top w:w="100" w:type="dxa"/>
              <w:bottom w:w="100" w:type="dxa"/>
              <w:left w:w="140" w:type="dxa"/>
              <w:right w:w="140" w:type="dxa"/>
            </w:tcMar>
          </w:tcPr>
          <w:p>
            <w:pPr>
              <w:jc w:val="left"/>
            </w:pPr>
            <w:r>
              <w:rPr>
                <w:rFonts w:ascii="Calibri" w:hAnsi="Calibri"/>
                <w:color w:val="212529"/>
                <w:sz w:val="20"/>
              </w:rPr>
              <w:t>Digital Platform Assets</w:t>
            </w:r>
          </w:p>
        </w:tc>
        <w:tc>
          <w:tcPr>
            <w:tcW w:type="dxa" w:w="3168"/>
            <w:shd w:fill="F9F6F0"/>
            <w:tcMar>
              <w:top w:w="100" w:type="dxa"/>
              <w:bottom w:w="100" w:type="dxa"/>
              <w:left w:w="140" w:type="dxa"/>
              <w:right w:w="140" w:type="dxa"/>
            </w:tcMar>
          </w:tcPr>
          <w:p>
            <w:pPr>
              <w:jc w:val="left"/>
            </w:pPr>
            <w:r>
              <w:rPr>
                <w:rFonts w:ascii="Calibri" w:hAnsi="Calibri"/>
                <w:color w:val="212529"/>
                <w:sz w:val="20"/>
              </w:rPr>
              <w:t>Ontology schema, 100 Q&amp;A AI engine, 100 verified quiz questions, open-license media register.</w:t>
            </w:r>
          </w:p>
        </w:tc>
      </w:tr>
      <w:tr>
        <w:tc>
          <w:tcPr>
            <w:tcW w:type="dxa" w:w="1584"/>
            <w:shd w:fill="FFFFFF"/>
            <w:tcMar>
              <w:top w:w="100" w:type="dxa"/>
              <w:bottom w:w="100" w:type="dxa"/>
              <w:left w:w="140" w:type="dxa"/>
              <w:right w:w="140" w:type="dxa"/>
            </w:tcMar>
          </w:tcPr>
          <w:p>
            <w:pPr>
              <w:jc w:val="left"/>
            </w:pPr>
            <w:r>
              <w:rPr>
                <w:rFonts w:ascii="Calibri" w:hAnsi="Calibri"/>
                <w:color w:val="212529"/>
                <w:sz w:val="20"/>
              </w:rPr>
              <w:t>42 - 45</w:t>
            </w:r>
          </w:p>
        </w:tc>
        <w:tc>
          <w:tcPr>
            <w:tcW w:type="dxa" w:w="2592"/>
            <w:shd w:fill="FFFFFF"/>
            <w:tcMar>
              <w:top w:w="100" w:type="dxa"/>
              <w:bottom w:w="100" w:type="dxa"/>
              <w:left w:w="140" w:type="dxa"/>
              <w:right w:w="140" w:type="dxa"/>
            </w:tcMar>
          </w:tcPr>
          <w:p>
            <w:pPr>
              <w:jc w:val="left"/>
            </w:pPr>
            <w:r>
              <w:rPr>
                <w:rFonts w:ascii="Calibri" w:hAnsi="Calibri"/>
                <w:color w:val="212529"/>
                <w:sz w:val="20"/>
              </w:rPr>
              <w:t>Sources, Conflicting Info, Gaps, &amp; Master Doc</w:t>
            </w:r>
          </w:p>
        </w:tc>
        <w:tc>
          <w:tcPr>
            <w:tcW w:type="dxa" w:w="2016"/>
            <w:shd w:fill="FFFFFF"/>
            <w:tcMar>
              <w:top w:w="100" w:type="dxa"/>
              <w:bottom w:w="100" w:type="dxa"/>
              <w:left w:w="140" w:type="dxa"/>
              <w:right w:w="140" w:type="dxa"/>
            </w:tcMar>
          </w:tcPr>
          <w:p>
            <w:pPr>
              <w:jc w:val="left"/>
            </w:pPr>
            <w:r>
              <w:rPr>
                <w:rFonts w:ascii="Calibri" w:hAnsi="Calibri"/>
                <w:color w:val="212529"/>
                <w:sz w:val="20"/>
              </w:rPr>
              <w:t>Research Integrity</w:t>
            </w:r>
          </w:p>
        </w:tc>
        <w:tc>
          <w:tcPr>
            <w:tcW w:type="dxa" w:w="3168"/>
            <w:shd w:fill="FFFFFF"/>
            <w:tcMar>
              <w:top w:w="100" w:type="dxa"/>
              <w:bottom w:w="100" w:type="dxa"/>
              <w:left w:w="140" w:type="dxa"/>
              <w:right w:w="140" w:type="dxa"/>
            </w:tcMar>
          </w:tcPr>
          <w:p>
            <w:pPr>
              <w:jc w:val="left"/>
            </w:pPr>
            <w:r>
              <w:rPr>
                <w:rFonts w:ascii="Calibri" w:hAnsi="Calibri"/>
                <w:color w:val="212529"/>
                <w:sz w:val="20"/>
              </w:rPr>
              <w:t>60+ source database, 5 major historiographical debate analyses, field research agenda, master index.</w:t>
            </w:r>
          </w:p>
        </w:tc>
      </w:tr>
    </w:tbl>
    <w:p>
      <w:pPr>
        <w:spacing w:after="120"/>
      </w:pPr>
    </w:p>
    <w:p>
      <w:pPr>
        <w:keepNext/>
        <w:spacing w:before="320" w:after="120"/>
      </w:pPr>
      <w:r>
        <w:rPr>
          <w:rFonts w:ascii="Georgia" w:hAnsi="Georgia"/>
          <w:b/>
          <w:color w:val="8B1E0F"/>
          <w:sz w:val="30"/>
        </w:rPr>
        <w:t>Part 3: Master Database Inventory Statistics</w:t>
      </w:r>
    </w:p>
    <w:p>
      <w:pPr>
        <w:spacing w:after="120" w:line="276" w:lineRule="auto"/>
      </w:pPr>
      <w:r>
        <w:rPr>
          <w:rFonts w:ascii="Calibri" w:hAnsi="Calibri"/>
          <w:i w:val="0"/>
          <w:color w:val="212529"/>
          <w:sz w:val="22"/>
        </w:rPr>
        <w:t>The Puri Cultural Research Package encompasses the following fully verified entity counts:</w:t>
      </w:r>
    </w:p>
    <w:p>
      <w:pPr>
        <w:pStyle w:val="ListBullet"/>
        <w:spacing w:after="60" w:line="276" w:lineRule="auto"/>
      </w:pPr>
      <w:r>
        <w:rPr>
          <w:rFonts w:ascii="Calibri" w:hAnsi="Calibri"/>
          <w:b/>
          <w:color w:val="2C3E50"/>
          <w:sz w:val="22"/>
        </w:rPr>
        <w:t xml:space="preserve">• </w:t>
      </w:r>
      <w:r>
        <w:rPr>
          <w:rFonts w:ascii="Calibri" w:hAnsi="Calibri"/>
          <w:color w:val="212529"/>
          <w:sz w:val="22"/>
        </w:rPr>
        <w:t>Temples &amp; Heritage Monuments Researched: 28 sites with GPS coordinates and architectural classifications.</w:t>
      </w:r>
    </w:p>
    <w:p>
      <w:pPr>
        <w:pStyle w:val="ListBullet"/>
        <w:spacing w:after="60" w:line="276" w:lineRule="auto"/>
      </w:pPr>
      <w:r>
        <w:rPr>
          <w:rFonts w:ascii="Calibri" w:hAnsi="Calibri"/>
          <w:b/>
          <w:color w:val="2C3E50"/>
          <w:sz w:val="22"/>
        </w:rPr>
        <w:t xml:space="preserve">• </w:t>
      </w:r>
      <w:r>
        <w:rPr>
          <w:rFonts w:ascii="Calibri" w:hAnsi="Calibri"/>
          <w:color w:val="212529"/>
          <w:sz w:val="22"/>
        </w:rPr>
        <w:t>Sacred Festivals &amp; Ceremonies Catalogued: 20 major annual and seasonal festivals.</w:t>
      </w:r>
    </w:p>
    <w:p>
      <w:pPr>
        <w:pStyle w:val="ListBullet"/>
        <w:spacing w:after="60" w:line="276" w:lineRule="auto"/>
      </w:pPr>
      <w:r>
        <w:rPr>
          <w:rFonts w:ascii="Calibri" w:hAnsi="Calibri"/>
          <w:b/>
          <w:color w:val="2C3E50"/>
          <w:sz w:val="22"/>
        </w:rPr>
        <w:t xml:space="preserve">• </w:t>
      </w:r>
      <w:r>
        <w:rPr>
          <w:rFonts w:ascii="Calibri" w:hAnsi="Calibri"/>
          <w:color w:val="212529"/>
          <w:sz w:val="22"/>
        </w:rPr>
        <w:t>Traditional &amp; Sacred Foods Documented: 25 distinct preparations with ingredients and GI status.</w:t>
      </w:r>
    </w:p>
    <w:p>
      <w:pPr>
        <w:pStyle w:val="ListBullet"/>
        <w:spacing w:after="60" w:line="276" w:lineRule="auto"/>
      </w:pPr>
      <w:r>
        <w:rPr>
          <w:rFonts w:ascii="Calibri" w:hAnsi="Calibri"/>
          <w:b/>
          <w:color w:val="2C3E50"/>
          <w:sz w:val="22"/>
        </w:rPr>
        <w:t xml:space="preserve">• </w:t>
      </w:r>
      <w:r>
        <w:rPr>
          <w:rFonts w:ascii="Calibri" w:hAnsi="Calibri"/>
          <w:color w:val="212529"/>
          <w:sz w:val="22"/>
        </w:rPr>
        <w:t>Traditional Arts, Crafts, &amp; Performing Forms: 20 distinct living artistic disciplines.</w:t>
      </w:r>
    </w:p>
    <w:p>
      <w:pPr>
        <w:pStyle w:val="ListBullet"/>
        <w:spacing w:after="60" w:line="276" w:lineRule="auto"/>
      </w:pPr>
      <w:r>
        <w:rPr>
          <w:rFonts w:ascii="Calibri" w:hAnsi="Calibri"/>
          <w:b/>
          <w:color w:val="2C3E50"/>
          <w:sz w:val="22"/>
        </w:rPr>
        <w:t xml:space="preserve">• </w:t>
      </w:r>
      <w:r>
        <w:rPr>
          <w:rFonts w:ascii="Calibri" w:hAnsi="Calibri"/>
          <w:color w:val="212529"/>
          <w:sz w:val="22"/>
        </w:rPr>
        <w:t>Myths, Sacred Legends, &amp; Oral Traditions: 15 structured narratives with cultural motif analyses.</w:t>
      </w:r>
    </w:p>
    <w:p>
      <w:pPr>
        <w:pStyle w:val="ListBullet"/>
        <w:spacing w:after="60" w:line="276" w:lineRule="auto"/>
      </w:pPr>
      <w:r>
        <w:rPr>
          <w:rFonts w:ascii="Calibri" w:hAnsi="Calibri"/>
          <w:b/>
          <w:color w:val="2C3E50"/>
          <w:sz w:val="22"/>
        </w:rPr>
        <w:t xml:space="preserve">• </w:t>
      </w:r>
      <w:r>
        <w:rPr>
          <w:rFonts w:ascii="Calibri" w:hAnsi="Calibri"/>
          <w:color w:val="212529"/>
          <w:sz w:val="22"/>
        </w:rPr>
        <w:t>Historical &amp; Cultural Personalities Registered: 25 historical figures with epigraphic sources.</w:t>
      </w:r>
    </w:p>
    <w:p>
      <w:pPr>
        <w:pStyle w:val="ListBullet"/>
        <w:spacing w:after="60" w:line="276" w:lineRule="auto"/>
      </w:pPr>
      <w:r>
        <w:rPr>
          <w:rFonts w:ascii="Calibri" w:hAnsi="Calibri"/>
          <w:b/>
          <w:color w:val="2C3E50"/>
          <w:sz w:val="22"/>
        </w:rPr>
        <w:t xml:space="preserve">• </w:t>
      </w:r>
      <w:r>
        <w:rPr>
          <w:rFonts w:ascii="Calibri" w:hAnsi="Calibri"/>
          <w:color w:val="212529"/>
          <w:sz w:val="22"/>
        </w:rPr>
        <w:t>AI Chatbot Structured Q&amp;A Modules: 100 comprehensive questions and answers across 10 domains.</w:t>
      </w:r>
    </w:p>
    <w:p>
      <w:pPr>
        <w:pStyle w:val="ListBullet"/>
        <w:spacing w:after="60" w:line="276" w:lineRule="auto"/>
      </w:pPr>
      <w:r>
        <w:rPr>
          <w:rFonts w:ascii="Calibri" w:hAnsi="Calibri"/>
          <w:b/>
          <w:color w:val="2C3E50"/>
          <w:sz w:val="22"/>
        </w:rPr>
        <w:t xml:space="preserve">• </w:t>
      </w:r>
      <w:r>
        <w:rPr>
          <w:rFonts w:ascii="Calibri" w:hAnsi="Calibri"/>
          <w:color w:val="212529"/>
          <w:sz w:val="22"/>
        </w:rPr>
        <w:t>Verified Educational Quiz Questions: 100 categorized questions with answer explanations.</w:t>
      </w:r>
    </w:p>
    <w:p>
      <w:pPr>
        <w:pStyle w:val="ListBullet"/>
        <w:spacing w:after="60" w:line="276" w:lineRule="auto"/>
      </w:pPr>
      <w:r>
        <w:rPr>
          <w:rFonts w:ascii="Calibri" w:hAnsi="Calibri"/>
          <w:b/>
          <w:color w:val="2C3E50"/>
          <w:sz w:val="22"/>
        </w:rPr>
        <w:t xml:space="preserve">• </w:t>
      </w:r>
      <w:r>
        <w:rPr>
          <w:rFonts w:ascii="Calibri" w:hAnsi="Calibri"/>
          <w:color w:val="212529"/>
          <w:sz w:val="22"/>
        </w:rPr>
        <w:t>Master Scholarly &amp; Institutional Sources Indexed: 60+ primary, statutory, and academic citations.</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PUR-S001</w:t>
            </w:r>
          </w:p>
        </w:tc>
        <w:tc>
          <w:tcPr>
            <w:tcW w:type="dxa" w:w="2016"/>
            <w:shd w:fill="FFFFFF"/>
            <w:tcMar>
              <w:top w:w="100" w:type="dxa"/>
              <w:bottom w:w="100" w:type="dxa"/>
              <w:left w:w="140" w:type="dxa"/>
              <w:right w:w="140" w:type="dxa"/>
            </w:tcMar>
          </w:tcPr>
          <w:p>
            <w:pPr>
              <w:jc w:val="left"/>
            </w:pPr>
            <w:r>
              <w:rPr>
                <w:rFonts w:ascii="Calibri" w:hAnsi="Calibri"/>
                <w:color w:val="212529"/>
                <w:sz w:val="20"/>
              </w:rPr>
              <w:t>Archaeological Survey of India (ASI)</w:t>
            </w:r>
          </w:p>
        </w:tc>
        <w:tc>
          <w:tcPr>
            <w:tcW w:type="dxa" w:w="3024"/>
            <w:shd w:fill="FFFFFF"/>
            <w:tcMar>
              <w:top w:w="100" w:type="dxa"/>
              <w:bottom w:w="100" w:type="dxa"/>
              <w:left w:w="140" w:type="dxa"/>
              <w:right w:w="140" w:type="dxa"/>
            </w:tcMar>
          </w:tcPr>
          <w:p>
            <w:pPr>
              <w:jc w:val="left"/>
            </w:pPr>
            <w:r>
              <w:rPr>
                <w:rFonts w:ascii="Calibri" w:hAnsi="Calibri"/>
                <w:color w:val="212529"/>
                <w:sz w:val="20"/>
              </w:rPr>
              <w:t>Architectural and Structural Conservation Reports on Shree Jagannath Temple Complex, Puri</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Report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https://asi.nic.in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PUR-S002</w:t>
            </w:r>
          </w:p>
        </w:tc>
        <w:tc>
          <w:tcPr>
            <w:tcW w:type="dxa" w:w="2016"/>
            <w:shd w:fill="F9F6F0"/>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9F6F0"/>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9F6F0"/>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PUR-S003</w:t>
            </w:r>
          </w:p>
        </w:tc>
        <w:tc>
          <w:tcPr>
            <w:tcW w:type="dxa" w:w="2016"/>
            <w:shd w:fill="FFFFFF"/>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FFFFF"/>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PUR-S004</w:t>
            </w:r>
          </w:p>
        </w:tc>
        <w:tc>
          <w:tcPr>
            <w:tcW w:type="dxa" w:w="2016"/>
            <w:shd w:fill="F9F6F0"/>
            <w:tcMar>
              <w:top w:w="100" w:type="dxa"/>
              <w:bottom w:w="100" w:type="dxa"/>
              <w:left w:w="140" w:type="dxa"/>
              <w:right w:w="140" w:type="dxa"/>
            </w:tcMar>
          </w:tcPr>
          <w:p>
            <w:pPr>
              <w:jc w:val="left"/>
            </w:pPr>
            <w:r>
              <w:rPr>
                <w:rFonts w:ascii="Calibri" w:hAnsi="Calibri"/>
                <w:color w:val="212529"/>
                <w:sz w:val="20"/>
              </w:rPr>
              <w:t>District Administration Puri</w:t>
            </w:r>
          </w:p>
        </w:tc>
        <w:tc>
          <w:tcPr>
            <w:tcW w:type="dxa" w:w="3024"/>
            <w:shd w:fill="F9F6F0"/>
            <w:tcMar>
              <w:top w:w="100" w:type="dxa"/>
              <w:bottom w:w="100" w:type="dxa"/>
              <w:left w:w="140" w:type="dxa"/>
              <w:right w:w="140" w:type="dxa"/>
            </w:tcMar>
          </w:tcPr>
          <w:p>
            <w:pPr>
              <w:jc w:val="left"/>
            </w:pPr>
            <w:r>
              <w:rPr>
                <w:rFonts w:ascii="Calibri" w:hAnsi="Calibri"/>
                <w:color w:val="212529"/>
                <w:sz w:val="20"/>
              </w:rPr>
              <w:t>District Statistical Handbook: Puri Demography, Geography &amp; Coastal Ecology</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Handbook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https://puri.nic.in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PUR-S005</w:t>
            </w:r>
          </w:p>
        </w:tc>
        <w:tc>
          <w:tcPr>
            <w:tcW w:type="dxa" w:w="2016"/>
            <w:shd w:fill="FFFFFF"/>
            <w:tcMar>
              <w:top w:w="100" w:type="dxa"/>
              <w:bottom w:w="100" w:type="dxa"/>
              <w:left w:w="140" w:type="dxa"/>
              <w:right w:w="140" w:type="dxa"/>
            </w:tcMar>
          </w:tcPr>
          <w:p>
            <w:pPr>
              <w:jc w:val="left"/>
            </w:pPr>
            <w:r>
              <w:rPr>
                <w:rFonts w:ascii="Calibri" w:hAnsi="Calibri"/>
                <w:color w:val="212529"/>
                <w:sz w:val="20"/>
              </w:rPr>
              <w:t>UNESCO / Ministry of Environment</w:t>
            </w:r>
          </w:p>
        </w:tc>
        <w:tc>
          <w:tcPr>
            <w:tcW w:type="dxa" w:w="3024"/>
            <w:shd w:fill="FFFFFF"/>
            <w:tcMar>
              <w:top w:w="100" w:type="dxa"/>
              <w:bottom w:w="100" w:type="dxa"/>
              <w:left w:w="140" w:type="dxa"/>
              <w:right w:w="140" w:type="dxa"/>
            </w:tcMar>
          </w:tcPr>
          <w:p>
            <w:pPr>
              <w:jc w:val="left"/>
            </w:pPr>
            <w:r>
              <w:rPr>
                <w:rFonts w:ascii="Calibri" w:hAnsi="Calibri"/>
                <w:color w:val="212529"/>
                <w:sz w:val="20"/>
              </w:rPr>
              <w:t>Chilika Lake Ramsar Wetland Site Ecological Assessment &amp; Biodiversity Register</w:t>
            </w:r>
          </w:p>
        </w:tc>
        <w:tc>
          <w:tcPr>
            <w:tcW w:type="dxa" w:w="1584"/>
            <w:shd w:fill="FFFFFF"/>
            <w:tcMar>
              <w:top w:w="100" w:type="dxa"/>
              <w:bottom w:w="100" w:type="dxa"/>
              <w:left w:w="140" w:type="dxa"/>
              <w:right w:w="140" w:type="dxa"/>
            </w:tcMar>
          </w:tcPr>
          <w:p>
            <w:pPr>
              <w:jc w:val="left"/>
            </w:pPr>
            <w:r>
              <w:rPr>
                <w:rFonts w:ascii="Calibri" w:hAnsi="Calibri"/>
                <w:color w:val="212529"/>
                <w:sz w:val="20"/>
              </w:rPr>
              <w:t>Ecological Register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https://chilika.com</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PUR-S006</w:t>
            </w:r>
          </w:p>
        </w:tc>
        <w:tc>
          <w:tcPr>
            <w:tcW w:type="dxa" w:w="2016"/>
            <w:shd w:fill="F9F6F0"/>
            <w:tcMar>
              <w:top w:w="100" w:type="dxa"/>
              <w:bottom w:w="100" w:type="dxa"/>
              <w:left w:w="140" w:type="dxa"/>
              <w:right w:w="140" w:type="dxa"/>
            </w:tcMar>
          </w:tcPr>
          <w:p>
            <w:pPr>
              <w:jc w:val="left"/>
            </w:pPr>
            <w:r>
              <w:rPr>
                <w:rFonts w:ascii="Calibri" w:hAnsi="Calibri"/>
                <w:color w:val="212529"/>
                <w:sz w:val="20"/>
              </w:rPr>
              <w:t>INTACH (Odisha State Chapter)</w:t>
            </w:r>
          </w:p>
        </w:tc>
        <w:tc>
          <w:tcPr>
            <w:tcW w:type="dxa" w:w="3024"/>
            <w:shd w:fill="F9F6F0"/>
            <w:tcMar>
              <w:top w:w="100" w:type="dxa"/>
              <w:bottom w:w="100" w:type="dxa"/>
              <w:left w:w="140" w:type="dxa"/>
              <w:right w:w="140" w:type="dxa"/>
            </w:tcMar>
          </w:tcPr>
          <w:p>
            <w:pPr>
              <w:jc w:val="left"/>
            </w:pPr>
            <w:r>
              <w:rPr>
                <w:rFonts w:ascii="Calibri" w:hAnsi="Calibri"/>
                <w:color w:val="212529"/>
                <w:sz w:val="20"/>
              </w:rPr>
              <w:t>Listing and Documentation of Built Heritage &amp; Traditional Mathas of Puri (Shrikshetra)</w:t>
            </w:r>
          </w:p>
        </w:tc>
        <w:tc>
          <w:tcPr>
            <w:tcW w:type="dxa" w:w="1584"/>
            <w:shd w:fill="F9F6F0"/>
            <w:tcMar>
              <w:top w:w="100" w:type="dxa"/>
              <w:bottom w:w="100" w:type="dxa"/>
              <w:left w:w="140" w:type="dxa"/>
              <w:right w:w="140" w:type="dxa"/>
            </w:tcMar>
          </w:tcPr>
          <w:p>
            <w:pPr>
              <w:jc w:val="left"/>
            </w:pPr>
            <w:r>
              <w:rPr>
                <w:rFonts w:ascii="Calibri" w:hAnsi="Calibri"/>
                <w:color w:val="212529"/>
                <w:sz w:val="20"/>
              </w:rPr>
              <w:t>Heritage Monograph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https://intach.org</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PUR-S007</w:t>
            </w:r>
          </w:p>
        </w:tc>
        <w:tc>
          <w:tcPr>
            <w:tcW w:type="dxa" w:w="2016"/>
            <w:shd w:fill="FFFFFF"/>
            <w:tcMar>
              <w:top w:w="100" w:type="dxa"/>
              <w:bottom w:w="100" w:type="dxa"/>
              <w:left w:w="140" w:type="dxa"/>
              <w:right w:w="140" w:type="dxa"/>
            </w:tcMar>
          </w:tcPr>
          <w:p>
            <w:pPr>
              <w:jc w:val="left"/>
            </w:pPr>
            <w:r>
              <w:rPr>
                <w:rFonts w:ascii="Calibri" w:hAnsi="Calibri"/>
                <w:color w:val="212529"/>
                <w:sz w:val="20"/>
              </w:rPr>
              <w:t>Geographical Indications Registry of India</w:t>
            </w:r>
          </w:p>
        </w:tc>
        <w:tc>
          <w:tcPr>
            <w:tcW w:type="dxa" w:w="3024"/>
            <w:shd w:fill="FFFFFF"/>
            <w:tcMar>
              <w:top w:w="100" w:type="dxa"/>
              <w:bottom w:w="100" w:type="dxa"/>
              <w:left w:w="140" w:type="dxa"/>
              <w:right w:w="140" w:type="dxa"/>
            </w:tcMar>
          </w:tcPr>
          <w:p>
            <w:pPr>
              <w:jc w:val="left"/>
            </w:pPr>
            <w:r>
              <w:rPr>
                <w:rFonts w:ascii="Calibri" w:hAnsi="Calibri"/>
                <w:color w:val="212529"/>
                <w:sz w:val="20"/>
              </w:rPr>
              <w:t>Geographical Indication GI Application No. 51 (Odisha Pattachitra) &amp; No. 612 (Odisha Rasagola)</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Register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https://ipindia.gov.in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PUR-S008</w:t>
            </w:r>
          </w:p>
        </w:tc>
        <w:tc>
          <w:tcPr>
            <w:tcW w:type="dxa" w:w="2016"/>
            <w:shd w:fill="F9F6F0"/>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PUR-S009</w:t>
            </w:r>
          </w:p>
        </w:tc>
        <w:tc>
          <w:tcPr>
            <w:tcW w:type="dxa" w:w="2016"/>
            <w:shd w:fill="FFFFFF"/>
            <w:tcMar>
              <w:top w:w="100" w:type="dxa"/>
              <w:bottom w:w="100" w:type="dxa"/>
              <w:left w:w="140" w:type="dxa"/>
              <w:right w:w="140" w:type="dxa"/>
            </w:tcMar>
          </w:tcPr>
          <w:p>
            <w:pPr>
              <w:jc w:val="left"/>
            </w:pPr>
            <w:r>
              <w:rPr>
                <w:rFonts w:ascii="Calibri" w:hAnsi="Calibri"/>
                <w:color w:val="212529"/>
                <w:sz w:val="20"/>
              </w:rPr>
              <w:t>Kitab Mahal</w:t>
            </w:r>
          </w:p>
        </w:tc>
        <w:tc>
          <w:tcPr>
            <w:tcW w:type="dxa" w:w="3024"/>
            <w:shd w:fill="FFFFFF"/>
            <w:tcMar>
              <w:top w:w="100" w:type="dxa"/>
              <w:bottom w:w="100" w:type="dxa"/>
              <w:left w:w="140" w:type="dxa"/>
              <w:right w:w="140" w:type="dxa"/>
            </w:tcMar>
          </w:tcPr>
          <w:p>
            <w:pPr>
              <w:jc w:val="left"/>
            </w:pPr>
            <w:r>
              <w:rPr>
                <w:rFonts w:ascii="Calibri" w:hAnsi="Calibri"/>
                <w:color w:val="212529"/>
                <w:sz w:val="20"/>
              </w:rPr>
              <w:t>History of Orissa (Hindu Period): Political, Dynastic and Cultural Archaeology</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Textbook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https://archive.org/details/historyoforissapanigrahi</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PUR-S010</w:t>
            </w:r>
          </w:p>
        </w:tc>
        <w:tc>
          <w:tcPr>
            <w:tcW w:type="dxa" w:w="2016"/>
            <w:shd w:fill="F9F6F0"/>
            <w:tcMar>
              <w:top w:w="100" w:type="dxa"/>
              <w:bottom w:w="100" w:type="dxa"/>
              <w:left w:w="140" w:type="dxa"/>
              <w:right w:w="140" w:type="dxa"/>
            </w:tcMar>
          </w:tcPr>
          <w:p>
            <w:pPr>
              <w:jc w:val="left"/>
            </w:pPr>
            <w:r>
              <w:rPr>
                <w:rFonts w:ascii="Calibri" w:hAnsi="Calibri"/>
                <w:color w:val="212529"/>
                <w:sz w:val="20"/>
              </w:rPr>
              <w:t>Prajnatirtha / Utkal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Daru Brahma: An Anthropological Study of the Tribal Origins of Jagannath Cult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https://orissaculture.gov.in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PUR-S011</w:t>
            </w:r>
          </w:p>
        </w:tc>
        <w:tc>
          <w:tcPr>
            <w:tcW w:type="dxa" w:w="2016"/>
            <w:shd w:fill="FFFFFF"/>
            <w:tcMar>
              <w:top w:w="100" w:type="dxa"/>
              <w:bottom w:w="100" w:type="dxa"/>
              <w:left w:w="140" w:type="dxa"/>
              <w:right w:w="140" w:type="dxa"/>
            </w:tcMar>
          </w:tcPr>
          <w:p>
            <w:pPr>
              <w:jc w:val="left"/>
            </w:pPr>
            <w:r>
              <w:rPr>
                <w:rFonts w:ascii="Calibri" w:hAnsi="Calibri"/>
                <w:color w:val="212529"/>
                <w:sz w:val="20"/>
              </w:rPr>
              <w:t>Sangeet Natak Akademi</w:t>
            </w:r>
          </w:p>
        </w:tc>
        <w:tc>
          <w:tcPr>
            <w:tcW w:type="dxa" w:w="3024"/>
            <w:shd w:fill="FFFFFF"/>
            <w:tcMar>
              <w:top w:w="100" w:type="dxa"/>
              <w:bottom w:w="100" w:type="dxa"/>
              <w:left w:w="140" w:type="dxa"/>
              <w:right w:w="140" w:type="dxa"/>
            </w:tcMar>
          </w:tcPr>
          <w:p>
            <w:pPr>
              <w:jc w:val="left"/>
            </w:pPr>
            <w:r>
              <w:rPr>
                <w:rFonts w:ascii="Calibri" w:hAnsi="Calibri"/>
                <w:color w:val="212529"/>
                <w:sz w:val="20"/>
              </w:rPr>
              <w:t>Documentation of Classical Odissi Dance, Mahari Temple Traditions &amp; Gotipua Performance</w:t>
            </w:r>
          </w:p>
        </w:tc>
        <w:tc>
          <w:tcPr>
            <w:tcW w:type="dxa" w:w="1584"/>
            <w:shd w:fill="FFFFFF"/>
            <w:tcMar>
              <w:top w:w="100" w:type="dxa"/>
              <w:bottom w:w="100" w:type="dxa"/>
              <w:left w:w="140" w:type="dxa"/>
              <w:right w:w="140" w:type="dxa"/>
            </w:tcMar>
          </w:tcPr>
          <w:p>
            <w:pPr>
              <w:jc w:val="left"/>
            </w:pPr>
            <w:r>
              <w:rPr>
                <w:rFonts w:ascii="Calibri" w:hAnsi="Calibri"/>
                <w:color w:val="212529"/>
                <w:sz w:val="20"/>
              </w:rPr>
              <w:t>Institutional Archive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https://sangeetnatak.gov.in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PUR-S012</w:t>
            </w:r>
          </w:p>
        </w:tc>
        <w:tc>
          <w:tcPr>
            <w:tcW w:type="dxa" w:w="2016"/>
            <w:shd w:fill="F9F6F0"/>
            <w:tcMar>
              <w:top w:w="100" w:type="dxa"/>
              <w:bottom w:w="100" w:type="dxa"/>
              <w:left w:w="140" w:type="dxa"/>
              <w:right w:w="140" w:type="dxa"/>
            </w:tcMar>
          </w:tcPr>
          <w:p>
            <w:pPr>
              <w:jc w:val="left"/>
            </w:pPr>
            <w:r>
              <w:rPr>
                <w:rFonts w:ascii="Calibri" w:hAnsi="Calibri"/>
                <w:color w:val="212529"/>
                <w:sz w:val="20"/>
              </w:rPr>
              <w:t>Ministry of Culture, Govt. of India</w:t>
            </w:r>
          </w:p>
        </w:tc>
        <w:tc>
          <w:tcPr>
            <w:tcW w:type="dxa" w:w="3024"/>
            <w:shd w:fill="F9F6F0"/>
            <w:tcMar>
              <w:top w:w="100" w:type="dxa"/>
              <w:bottom w:w="100" w:type="dxa"/>
              <w:left w:w="140" w:type="dxa"/>
              <w:right w:w="140" w:type="dxa"/>
            </w:tcMar>
          </w:tcPr>
          <w:p>
            <w:pPr>
              <w:jc w:val="left"/>
            </w:pPr>
            <w:r>
              <w:rPr>
                <w:rFonts w:ascii="Calibri" w:hAnsi="Calibri"/>
                <w:color w:val="212529"/>
                <w:sz w:val="20"/>
              </w:rPr>
              <w:t>Declaration of Odia as the 6th Classical Language of India: Linguistic Antiquity Dossier</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Gazette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https://indiaculture.gov.in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PUR-S013</w:t>
            </w:r>
          </w:p>
        </w:tc>
        <w:tc>
          <w:tcPr>
            <w:tcW w:type="dxa" w:w="2016"/>
            <w:shd w:fill="FFFFFF"/>
            <w:tcMar>
              <w:top w:w="100" w:type="dxa"/>
              <w:bottom w:w="100" w:type="dxa"/>
              <w:left w:w="140" w:type="dxa"/>
              <w:right w:w="140" w:type="dxa"/>
            </w:tcMar>
          </w:tcPr>
          <w:p>
            <w:pPr>
              <w:jc w:val="left"/>
            </w:pPr>
            <w:r>
              <w:rPr>
                <w:rFonts w:ascii="Calibri" w:hAnsi="Calibri"/>
                <w:color w:val="212529"/>
                <w:sz w:val="20"/>
              </w:rPr>
              <w:t>Cambridge University Press</w:t>
            </w:r>
          </w:p>
        </w:tc>
        <w:tc>
          <w:tcPr>
            <w:tcW w:type="dxa" w:w="3024"/>
            <w:shd w:fill="FFFFFF"/>
            <w:tcMar>
              <w:top w:w="100" w:type="dxa"/>
              <w:bottom w:w="100" w:type="dxa"/>
              <w:left w:w="140" w:type="dxa"/>
              <w:right w:w="140" w:type="dxa"/>
            </w:tcMar>
          </w:tcPr>
          <w:p>
            <w:pPr>
              <w:jc w:val="left"/>
            </w:pPr>
            <w:r>
              <w:rPr>
                <w:rFonts w:ascii="Calibri" w:hAnsi="Calibri"/>
                <w:color w:val="212529"/>
                <w:sz w:val="20"/>
              </w:rPr>
              <w:t>Jagannatha and the Cult of the State in Medieval Orissa</w:t>
            </w:r>
          </w:p>
        </w:tc>
        <w:tc>
          <w:tcPr>
            <w:tcW w:type="dxa" w:w="1584"/>
            <w:shd w:fill="FFFFFF"/>
            <w:tcMar>
              <w:top w:w="100" w:type="dxa"/>
              <w:bottom w:w="100" w:type="dxa"/>
              <w:left w:w="140" w:type="dxa"/>
              <w:right w:w="140" w:type="dxa"/>
            </w:tcMar>
          </w:tcPr>
          <w:p>
            <w:pPr>
              <w:jc w:val="left"/>
            </w:pPr>
            <w:r>
              <w:rPr>
                <w:rFonts w:ascii="Calibri" w:hAnsi="Calibri"/>
                <w:color w:val="212529"/>
                <w:sz w:val="20"/>
              </w:rPr>
              <w:t>Peer-Reviewed Journal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https://cambridge.org/core/journals/modern-asian-studies</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PUR-S014</w:t>
            </w:r>
          </w:p>
        </w:tc>
        <w:tc>
          <w:tcPr>
            <w:tcW w:type="dxa" w:w="2016"/>
            <w:shd w:fill="F9F6F0"/>
            <w:tcMar>
              <w:top w:w="100" w:type="dxa"/>
              <w:bottom w:w="100" w:type="dxa"/>
              <w:left w:w="140" w:type="dxa"/>
              <w:right w:w="140" w:type="dxa"/>
            </w:tcMar>
          </w:tcPr>
          <w:p>
            <w:pPr>
              <w:jc w:val="left"/>
            </w:pPr>
            <w:r>
              <w:rPr>
                <w:rFonts w:ascii="Calibri" w:hAnsi="Calibri"/>
                <w:color w:val="212529"/>
                <w:sz w:val="20"/>
              </w:rPr>
              <w:t>Development Commissioner (Handicrafts)</w:t>
            </w:r>
          </w:p>
        </w:tc>
        <w:tc>
          <w:tcPr>
            <w:tcW w:type="dxa" w:w="3024"/>
            <w:shd w:fill="F9F6F0"/>
            <w:tcMar>
              <w:top w:w="100" w:type="dxa"/>
              <w:bottom w:w="100" w:type="dxa"/>
              <w:left w:w="140" w:type="dxa"/>
              <w:right w:w="140" w:type="dxa"/>
            </w:tcMar>
          </w:tcPr>
          <w:p>
            <w:pPr>
              <w:jc w:val="left"/>
            </w:pPr>
            <w:r>
              <w:rPr>
                <w:rFonts w:ascii="Calibri" w:hAnsi="Calibri"/>
                <w:color w:val="212529"/>
                <w:sz w:val="20"/>
              </w:rPr>
              <w:t>Comprehensive Artisan Diagnostic Study: Raghurajpur Craft Heritage Village</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Diagnostic Study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https://handicrafts.nic.in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PUR-S015</w:t>
            </w:r>
          </w:p>
        </w:tc>
        <w:tc>
          <w:tcPr>
            <w:tcW w:type="dxa" w:w="2016"/>
            <w:shd w:fill="FFFFFF"/>
            <w:tcMar>
              <w:top w:w="100" w:type="dxa"/>
              <w:bottom w:w="100" w:type="dxa"/>
              <w:left w:w="140" w:type="dxa"/>
              <w:right w:w="140" w:type="dxa"/>
            </w:tcMar>
          </w:tcPr>
          <w:p>
            <w:pPr>
              <w:jc w:val="left"/>
            </w:pPr>
            <w:r>
              <w:rPr>
                <w:rFonts w:ascii="Calibri" w:hAnsi="Calibri"/>
                <w:color w:val="212529"/>
                <w:sz w:val="20"/>
              </w:rPr>
              <w:t>Bengal Secretariat Press</w:t>
            </w:r>
          </w:p>
        </w:tc>
        <w:tc>
          <w:tcPr>
            <w:tcW w:type="dxa" w:w="3024"/>
            <w:shd w:fill="FFFFFF"/>
            <w:tcMar>
              <w:top w:w="100" w:type="dxa"/>
              <w:bottom w:w="100" w:type="dxa"/>
              <w:left w:w="140" w:type="dxa"/>
              <w:right w:w="140" w:type="dxa"/>
            </w:tcMar>
          </w:tcPr>
          <w:p>
            <w:pPr>
              <w:jc w:val="left"/>
            </w:pPr>
            <w:r>
              <w:rPr>
                <w:rFonts w:ascii="Calibri" w:hAnsi="Calibri"/>
                <w:color w:val="212529"/>
                <w:sz w:val="20"/>
              </w:rPr>
              <w:t>Orissa: Or the Vicissitudes of an Indian Province under Native and British Rule (Vol I &amp; II)</w:t>
            </w:r>
          </w:p>
        </w:tc>
        <w:tc>
          <w:tcPr>
            <w:tcW w:type="dxa" w:w="1584"/>
            <w:shd w:fill="FFFFFF"/>
            <w:tcMar>
              <w:top w:w="100" w:type="dxa"/>
              <w:bottom w:w="100" w:type="dxa"/>
              <w:left w:w="140" w:type="dxa"/>
              <w:right w:w="140" w:type="dxa"/>
            </w:tcMar>
          </w:tcPr>
          <w:p>
            <w:pPr>
              <w:jc w:val="left"/>
            </w:pPr>
            <w:r>
              <w:rPr>
                <w:rFonts w:ascii="Calibri" w:hAnsi="Calibri"/>
                <w:color w:val="212529"/>
                <w:sz w:val="20"/>
              </w:rPr>
              <w:t>Colonial Historical Record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https://archive.org/details/orissaorvicissi00huntgoog</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PUR-S016</w:t>
            </w:r>
          </w:p>
        </w:tc>
        <w:tc>
          <w:tcPr>
            <w:tcW w:type="dxa" w:w="2016"/>
            <w:shd w:fill="F9F6F0"/>
            <w:tcMar>
              <w:top w:w="100" w:type="dxa"/>
              <w:bottom w:w="100" w:type="dxa"/>
              <w:left w:w="140" w:type="dxa"/>
              <w:right w:w="140" w:type="dxa"/>
            </w:tcMar>
          </w:tcPr>
          <w:p>
            <w:pPr>
              <w:jc w:val="left"/>
            </w:pPr>
            <w:r>
              <w:rPr>
                <w:rFonts w:ascii="Calibri" w:hAnsi="Calibri"/>
                <w:color w:val="212529"/>
                <w:sz w:val="20"/>
              </w:rPr>
              <w:t>Epigraphia Indica</w:t>
            </w:r>
          </w:p>
        </w:tc>
        <w:tc>
          <w:tcPr>
            <w:tcW w:type="dxa" w:w="3024"/>
            <w:shd w:fill="F9F6F0"/>
            <w:tcMar>
              <w:top w:w="100" w:type="dxa"/>
              <w:bottom w:w="100" w:type="dxa"/>
              <w:left w:w="140" w:type="dxa"/>
              <w:right w:w="140" w:type="dxa"/>
            </w:tcMar>
          </w:tcPr>
          <w:p>
            <w:pPr>
              <w:jc w:val="left"/>
            </w:pPr>
            <w:r>
              <w:rPr>
                <w:rFonts w:ascii="Calibri" w:hAnsi="Calibri"/>
                <w:color w:val="212529"/>
                <w:sz w:val="20"/>
              </w:rPr>
              <w:t>Inscriptions of the Eastern Gangas: Chodaganga Deva &amp; Anangabhima Deva Copper Plates</w:t>
            </w:r>
          </w:p>
        </w:tc>
        <w:tc>
          <w:tcPr>
            <w:tcW w:type="dxa" w:w="1584"/>
            <w:shd w:fill="F9F6F0"/>
            <w:tcMar>
              <w:top w:w="100" w:type="dxa"/>
              <w:bottom w:w="100" w:type="dxa"/>
              <w:left w:w="140" w:type="dxa"/>
              <w:right w:w="140" w:type="dxa"/>
            </w:tcMar>
          </w:tcPr>
          <w:p>
            <w:pPr>
              <w:jc w:val="left"/>
            </w:pPr>
            <w:r>
              <w:rPr>
                <w:rFonts w:ascii="Calibri" w:hAnsi="Calibri"/>
                <w:color w:val="212529"/>
                <w:sz w:val="20"/>
              </w:rPr>
              <w:t>Epigraphic Corpus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https://asi.nic.in/epigraphia-indica</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PUR-S017</w:t>
            </w:r>
          </w:p>
        </w:tc>
        <w:tc>
          <w:tcPr>
            <w:tcW w:type="dxa" w:w="2016"/>
            <w:shd w:fill="FFFFFF"/>
            <w:tcMar>
              <w:top w:w="100" w:type="dxa"/>
              <w:bottom w:w="100" w:type="dxa"/>
              <w:left w:w="140" w:type="dxa"/>
              <w:right w:w="140" w:type="dxa"/>
            </w:tcMar>
          </w:tcPr>
          <w:p>
            <w:pPr>
              <w:jc w:val="left"/>
            </w:pPr>
            <w:r>
              <w:rPr>
                <w:rFonts w:ascii="Calibri" w:hAnsi="Calibri"/>
                <w:color w:val="212529"/>
                <w:sz w:val="20"/>
              </w:rPr>
              <w:t>Utkal University Research Journal</w:t>
            </w:r>
          </w:p>
        </w:tc>
        <w:tc>
          <w:tcPr>
            <w:tcW w:type="dxa" w:w="3024"/>
            <w:shd w:fill="FFFFFF"/>
            <w:tcMar>
              <w:top w:w="100" w:type="dxa"/>
              <w:bottom w:w="100" w:type="dxa"/>
              <w:left w:w="140" w:type="dxa"/>
              <w:right w:w="140" w:type="dxa"/>
            </w:tcMar>
          </w:tcPr>
          <w:p>
            <w:pPr>
              <w:jc w:val="left"/>
            </w:pPr>
            <w:r>
              <w:rPr>
                <w:rFonts w:ascii="Calibri" w:hAnsi="Calibri"/>
                <w:color w:val="212529"/>
                <w:sz w:val="20"/>
              </w:rPr>
              <w:t>Gajapati Kings of Orissa and the Feudal Structure of Shree Purushottama Kshetra</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Journal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https://utkaluniversity.ac.in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PUR-S018</w:t>
            </w:r>
          </w:p>
        </w:tc>
        <w:tc>
          <w:tcPr>
            <w:tcW w:type="dxa" w:w="2016"/>
            <w:shd w:fill="F9F6F0"/>
            <w:tcMar>
              <w:top w:w="100" w:type="dxa"/>
              <w:bottom w:w="100" w:type="dxa"/>
              <w:left w:w="140" w:type="dxa"/>
              <w:right w:w="140" w:type="dxa"/>
            </w:tcMar>
          </w:tcPr>
          <w:p>
            <w:pPr>
              <w:jc w:val="left"/>
            </w:pPr>
            <w:r>
              <w:rPr>
                <w:rFonts w:ascii="Calibri" w:hAnsi="Calibri"/>
                <w:color w:val="212529"/>
                <w:sz w:val="20"/>
              </w:rPr>
              <w:t>Gaudiya Mission / Bhaktivedanta Archives</w:t>
            </w:r>
          </w:p>
        </w:tc>
        <w:tc>
          <w:tcPr>
            <w:tcW w:type="dxa" w:w="3024"/>
            <w:shd w:fill="F9F6F0"/>
            <w:tcMar>
              <w:top w:w="100" w:type="dxa"/>
              <w:bottom w:w="100" w:type="dxa"/>
              <w:left w:w="140" w:type="dxa"/>
              <w:right w:w="140" w:type="dxa"/>
            </w:tcMar>
          </w:tcPr>
          <w:p>
            <w:pPr>
              <w:jc w:val="left"/>
            </w:pPr>
            <w:r>
              <w:rPr>
                <w:rFonts w:ascii="Calibri" w:hAnsi="Calibri"/>
                <w:color w:val="212529"/>
                <w:sz w:val="20"/>
              </w:rPr>
              <w:t>Sri Chaitanya Charitamrita (Antya-lila): Chaitanya in Nilachala-Puri</w:t>
            </w:r>
          </w:p>
        </w:tc>
        <w:tc>
          <w:tcPr>
            <w:tcW w:type="dxa" w:w="1584"/>
            <w:shd w:fill="F9F6F0"/>
            <w:tcMar>
              <w:top w:w="100" w:type="dxa"/>
              <w:bottom w:w="100" w:type="dxa"/>
              <w:left w:w="140" w:type="dxa"/>
              <w:right w:w="140" w:type="dxa"/>
            </w:tcMar>
          </w:tcPr>
          <w:p>
            <w:pPr>
              <w:jc w:val="left"/>
            </w:pPr>
            <w:r>
              <w:rPr>
                <w:rFonts w:ascii="Calibri" w:hAnsi="Calibri"/>
                <w:color w:val="212529"/>
                <w:sz w:val="20"/>
              </w:rPr>
              <w:t>Historical-Devotional Text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https://gaudiyamission.org</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PUR-S019</w:t>
            </w:r>
          </w:p>
        </w:tc>
        <w:tc>
          <w:tcPr>
            <w:tcW w:type="dxa" w:w="2016"/>
            <w:shd w:fill="FFFFFF"/>
            <w:tcMar>
              <w:top w:w="100" w:type="dxa"/>
              <w:bottom w:w="100" w:type="dxa"/>
              <w:left w:w="140" w:type="dxa"/>
              <w:right w:w="140" w:type="dxa"/>
            </w:tcMar>
          </w:tcPr>
          <w:p>
            <w:pPr>
              <w:jc w:val="left"/>
            </w:pPr>
            <w:r>
              <w:rPr>
                <w:rFonts w:ascii="Calibri" w:hAnsi="Calibri"/>
                <w:color w:val="212529"/>
                <w:sz w:val="20"/>
              </w:rPr>
              <w:t>Madala Panji Archive</w:t>
            </w:r>
          </w:p>
        </w:tc>
        <w:tc>
          <w:tcPr>
            <w:tcW w:type="dxa" w:w="3024"/>
            <w:shd w:fill="FFFFFF"/>
            <w:tcMar>
              <w:top w:w="100" w:type="dxa"/>
              <w:bottom w:w="100" w:type="dxa"/>
              <w:left w:w="140" w:type="dxa"/>
              <w:right w:w="140" w:type="dxa"/>
            </w:tcMar>
          </w:tcPr>
          <w:p>
            <w:pPr>
              <w:jc w:val="left"/>
            </w:pPr>
            <w:r>
              <w:rPr>
                <w:rFonts w:ascii="Calibri" w:hAnsi="Calibri"/>
                <w:color w:val="212529"/>
                <w:sz w:val="20"/>
              </w:rPr>
              <w:t>Madala Panji: The Temple Chronicle of Shree Jagannath Temple of Puri</w:t>
            </w:r>
          </w:p>
        </w:tc>
        <w:tc>
          <w:tcPr>
            <w:tcW w:type="dxa" w:w="1584"/>
            <w:shd w:fill="FFFFFF"/>
            <w:tcMar>
              <w:top w:w="100" w:type="dxa"/>
              <w:bottom w:w="100" w:type="dxa"/>
              <w:left w:w="140" w:type="dxa"/>
              <w:right w:w="140" w:type="dxa"/>
            </w:tcMar>
          </w:tcPr>
          <w:p>
            <w:pPr>
              <w:jc w:val="left"/>
            </w:pPr>
            <w:r>
              <w:rPr>
                <w:rFonts w:ascii="Calibri" w:hAnsi="Calibri"/>
                <w:color w:val="212529"/>
                <w:sz w:val="20"/>
              </w:rPr>
              <w:t>Traditional Chronicle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https://orissaculture.gov.in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PUR-S020</w:t>
            </w:r>
          </w:p>
        </w:tc>
        <w:tc>
          <w:tcPr>
            <w:tcW w:type="dxa" w:w="2016"/>
            <w:shd w:fill="F9F6F0"/>
            <w:tcMar>
              <w:top w:w="100" w:type="dxa"/>
              <w:bottom w:w="100" w:type="dxa"/>
              <w:left w:w="140" w:type="dxa"/>
              <w:right w:w="140" w:type="dxa"/>
            </w:tcMar>
          </w:tcPr>
          <w:p>
            <w:pPr>
              <w:jc w:val="left"/>
            </w:pPr>
            <w:r>
              <w:rPr>
                <w:rFonts w:ascii="Calibri" w:hAnsi="Calibri"/>
                <w:color w:val="212529"/>
                <w:sz w:val="20"/>
              </w:rPr>
              <w:t>National Mission on Monuments and Antiquities (NMMA)</w:t>
            </w:r>
          </w:p>
        </w:tc>
        <w:tc>
          <w:tcPr>
            <w:tcW w:type="dxa" w:w="3024"/>
            <w:shd w:fill="F9F6F0"/>
            <w:tcMar>
              <w:top w:w="100" w:type="dxa"/>
              <w:bottom w:w="100" w:type="dxa"/>
              <w:left w:w="140" w:type="dxa"/>
              <w:right w:w="140" w:type="dxa"/>
            </w:tcMar>
          </w:tcPr>
          <w:p>
            <w:pPr>
              <w:jc w:val="left"/>
            </w:pPr>
            <w:r>
              <w:rPr>
                <w:rFonts w:ascii="Calibri" w:hAnsi="Calibri"/>
                <w:color w:val="212529"/>
                <w:sz w:val="20"/>
              </w:rPr>
              <w:t>National Inventory of Built Heritage: Deulas and Pithas of Coastal Odisha</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Database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https://nmma.nic.in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MASTER RESEARCH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