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01. Shekhawati Regional Overview &amp; Identity</w:t>
      </w:r>
    </w:p>
    <w:p>
      <w:pPr>
        <w:spacing w:before="280" w:after="120"/>
      </w:pPr>
      <w:r>
        <w:rPr>
          <w:rFonts w:ascii="Arial" w:hAnsi="Arial"/>
          <w:b/>
          <w:color w:val="8B0000"/>
          <w:sz w:val="30"/>
        </w:rPr>
        <w:t>1. Basic Identity &amp; Regional Nomenclature</w:t>
      </w:r>
    </w:p>
    <w:p>
      <w:pPr>
        <w:spacing w:after="120" w:line="276" w:lineRule="auto"/>
      </w:pPr>
      <w:r>
        <w:rPr>
          <w:i w:val="0"/>
        </w:rPr>
        <w:t>Shekhawati (Hindi: शेखावटी) is a historically and culturally distinct region situated in the north-eastern part of Rajasthan, India. Geographically and administratively, it encompasses the modern districts of Jhunjhunu, Sikar, Churu, and contiguous parts of Nagaur and Jaipur districts. The region is internationally celebrated as the 'World's Largest Open-Air Art Gallery' due to its extraordinarily dense concentration of grand havelis (merchant mansions), forts, temples, and stepwells adorned with elaborate fresco paintings.</w:t>
      </w:r>
    </w:p>
    <w:p>
      <w:pPr>
        <w:pStyle w:val="ListBullet"/>
        <w:spacing w:after="80" w:line="276" w:lineRule="auto"/>
      </w:pPr>
      <w:r>
        <w:rPr>
          <w:b/>
          <w:color w:val="1A365D"/>
        </w:rPr>
        <w:t xml:space="preserve">Name Meaning: </w:t>
      </w:r>
      <w:r>
        <w:t>Shekhawati — 'Land of the Shekhawat Rajputs', named after Rao Shekhaji (1433–1488 CE), founder of the Shekhawat clan of Kachhwaha Rajputs.</w:t>
      </w:r>
    </w:p>
    <w:p>
      <w:pPr>
        <w:pStyle w:val="ListBullet"/>
        <w:spacing w:after="80" w:line="276" w:lineRule="auto"/>
      </w:pPr>
      <w:r>
        <w:rPr>
          <w:b/>
          <w:color w:val="1A365D"/>
        </w:rPr>
        <w:t xml:space="preserve">Alternative Names &amp; Spellings: </w:t>
      </w:r>
      <w:r>
        <w:t>Shekhawati, Shekhawati Region, Shekhawati Estate, Panchpana Thikanas.</w:t>
      </w:r>
    </w:p>
    <w:p>
      <w:pPr>
        <w:pStyle w:val="ListBullet"/>
        <w:spacing w:after="80" w:line="276" w:lineRule="auto"/>
      </w:pPr>
      <w:r>
        <w:rPr>
          <w:b/>
          <w:color w:val="1A365D"/>
        </w:rPr>
        <w:t xml:space="preserve">Geographical Coordinates: </w:t>
      </w:r>
      <w:r>
        <w:t>27° 13' N to 29° 02' N Latitude; 74° 40' E to 76° 05' E Longitude.</w:t>
      </w:r>
    </w:p>
    <w:p>
      <w:pPr>
        <w:pStyle w:val="ListBullet"/>
        <w:spacing w:after="80" w:line="276" w:lineRule="auto"/>
      </w:pPr>
      <w:r>
        <w:rPr>
          <w:b/>
          <w:color w:val="1A365D"/>
        </w:rPr>
        <w:t xml:space="preserve">Total Regional Area: </w:t>
      </w:r>
      <w:r>
        <w:t>Approximately 13,784 square kilometers across Sikar, Jhunjhunu, and Churu districts.</w:t>
      </w:r>
    </w:p>
    <w:p>
      <w:pPr>
        <w:pStyle w:val="ListBullet"/>
        <w:spacing w:after="80" w:line="276" w:lineRule="auto"/>
      </w:pPr>
      <w:r>
        <w:rPr>
          <w:b/>
          <w:color w:val="1A365D"/>
        </w:rPr>
        <w:t xml:space="preserve">Primary Languages: </w:t>
      </w:r>
      <w:r>
        <w:t>Shekhawati dialect (a major variant of Marwari / Dhundhari Rajasthani), Hindi, English.</w:t>
      </w:r>
    </w:p>
    <w:p>
      <w:pPr>
        <w:spacing w:before="280" w:after="120"/>
      </w:pPr>
      <w:r>
        <w:rPr>
          <w:rFonts w:ascii="Arial" w:hAnsi="Arial"/>
          <w:b/>
          <w:color w:val="8B0000"/>
          <w:sz w:val="30"/>
        </w:rPr>
        <w:t>2. Tiered Introductions &amp; Summaries</w:t>
      </w:r>
    </w:p>
    <w:p>
      <w:pPr>
        <w:spacing w:after="120" w:line="276" w:lineRule="auto"/>
      </w:pPr>
      <w:r>
        <w:rPr>
          <w:b/>
          <w:color w:val="1A365D"/>
        </w:rPr>
        <w:t xml:space="preserve">One-Line Description: </w:t>
      </w:r>
      <w:r>
        <w:rPr>
          <w:i w:val="0"/>
        </w:rPr>
        <w:t>Shekhawati is Rajasthan's premier open-air architectural gallery, world-renowned for its frescoed havelis, Marwari merchant legacy, and fortified Rajput heritage.</w:t>
      </w:r>
    </w:p>
    <w:p>
      <w:pPr>
        <w:spacing w:after="120" w:line="276" w:lineRule="auto"/>
      </w:pPr>
      <w:r>
        <w:rPr>
          <w:b/>
          <w:color w:val="1A365D"/>
        </w:rPr>
        <w:t xml:space="preserve">One-Paragraph Introduction: </w:t>
      </w:r>
      <w:r>
        <w:rPr>
          <w:i w:val="0"/>
        </w:rPr>
        <w:t>Shekhawati is a historic semi-arid cultural landscape in north-eastern Rajasthan, formed by the Shekhawat Rajput clan in the 15th century. During the 19th and early 20th centuries, wealthy Marwari merchant families who migrated to India's major port cities funneled their commercial riches back into their ancestral desert towns, constructing thousands of palatial courtyard houses decorated with vibrant fresco paintings detailing mythology, royal court life, and colonial technological marvels.</w:t>
      </w:r>
    </w:p>
    <w:p>
      <w:pPr>
        <w:spacing w:after="120" w:line="276" w:lineRule="auto"/>
      </w:pPr>
      <w:r>
        <w:rPr>
          <w:b/>
          <w:color w:val="1A365D"/>
        </w:rPr>
        <w:t xml:space="preserve">100-Word Introduction: </w:t>
      </w:r>
      <w:r>
        <w:rPr>
          <w:i w:val="0"/>
        </w:rPr>
        <w:t>Shekhawati represents a unique synthesis of feudal Rajput military power and mercantile capitalism. Located along historic trans-continental caravan trade routes connecting the Arabian Sea ports to Northern India, the region developed an unprecedented architectural patron-client ecosystem. Between 1830 and 1930, Marwari merchant dynasties—such as the Poddars, Goenkas, Birlas, Ruias, and Singhania families—commissioned thousands of ornate havelis, stepwells (baoris), cenotaphs (chhatris), and temples. Painted by master gilders and plasterers using the Italian-influenced 'buon fresco' (Jaipur araish) method, these structures constitute the dense cultural heritage footprint of regional Rajasthan.</w:t>
      </w:r>
    </w:p>
    <w:p>
      <w:pPr>
        <w:spacing w:after="120" w:line="276" w:lineRule="auto"/>
      </w:pPr>
      <w:r>
        <w:rPr>
          <w:b/>
          <w:color w:val="1A365D"/>
        </w:rPr>
        <w:t xml:space="preserve">500-Word Comprehensive Introduction: </w:t>
      </w:r>
      <w:r>
        <w:rPr>
          <w:i w:val="0"/>
        </w:rPr>
        <w:t>The region of Shekhawati occupies a celebrated position in Indian art history and architectural ethnography. Spanning the modern administrative districts of Sikar, Jhunjhunu, and Churu, Shekhawati transitioned from an independent 15th-century Rajput chiefdom established by Rao Shekha into a thriving commercial hub along inland trade routes. As maritime trade under the British East India Company shifted economic centers toward colonial metropolitan ports like Kolkata (Calcutta), Mumbai (Bombay), and Chennai (Madras), Marwari traders from Shekhawati migrated to establish dominance over India's banking, cotton, jute, and opium markets.</w:t>
        <w:br/>
        <w:br/>
        <w:t>Despite their geographical dispersion, these merchant magnates maintained deep spiritual and social attachments to their ancestral thikanas. They channeled immense personal wealth back into constructing palatial courtyard mansions (havelis), ornate public stepwells (baoris and johads), shaded caravanserais, and elaborate temples. Local master craftsmen (cheteras) decorated these masonry walls with frescoes rendered in natural mineral and vegetable pigments. The iconography vividly depicts a transitional era in Indian history: traditional Hindu epics (Ramayana and Bhagavata Purana) sit side-by-side with depictions of British colonial officers, steam locomotives, motorcars, gramophones, and early biplanes.</w:t>
        <w:br/>
        <w:br/>
        <w:t>Today, Shekhawati's architectural ecosystem faces preservation challenges stemming from absentee ownership, urban redevelopment, and environmental weathering. Nevertheless, it remains a vital subject of scholarly documentation by INTACH, UNESCO, and heritage conservationists globally [Source: SHK-S001, SHK-S004].</w:t>
      </w:r>
    </w:p>
    <w:p>
      <w:pPr>
        <w:spacing w:before="280" w:after="120"/>
      </w:pPr>
      <w:r>
        <w:rPr>
          <w:rFonts w:ascii="Arial" w:hAnsi="Arial"/>
          <w:b/>
          <w:color w:val="8B0000"/>
          <w:sz w:val="30"/>
        </w:rPr>
        <w:t>3. Summary Significance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Domain</w:t>
            </w:r>
          </w:p>
        </w:tc>
        <w:tc>
          <w:tcPr>
            <w:tcW w:type="dxa" w:w="3600"/>
            <w:shd w:fill="1E3A8A"/>
          </w:tcPr>
          <w:p>
            <w:pPr>
              <w:spacing w:after="40"/>
              <w:jc w:val="left"/>
            </w:pPr>
            <w:r>
              <w:rPr>
                <w:rFonts w:ascii="Arial" w:hAnsi="Arial"/>
                <w:b/>
                <w:color w:val="FFFFFF"/>
                <w:sz w:val="19"/>
              </w:rPr>
              <w:t>Cultural &amp; Historical Value</w:t>
            </w:r>
          </w:p>
        </w:tc>
        <w:tc>
          <w:tcPr>
            <w:tcW w:type="dxa" w:w="2880"/>
            <w:shd w:fill="1E3A8A"/>
          </w:tcPr>
          <w:p>
            <w:pPr>
              <w:spacing w:after="40"/>
              <w:jc w:val="left"/>
            </w:pPr>
            <w:r>
              <w:rPr>
                <w:rFonts w:ascii="Arial" w:hAnsi="Arial"/>
                <w:b/>
                <w:color w:val="FFFFFF"/>
                <w:sz w:val="19"/>
              </w:rPr>
              <w:t>Key Features &amp; Heritage Assets</w:t>
            </w:r>
          </w:p>
        </w:tc>
        <w:tc>
          <w:tcPr>
            <w:tcW w:type="dxa" w:w="1728"/>
            <w:shd w:fill="1E3A8A"/>
          </w:tcPr>
          <w:p>
            <w:pPr>
              <w:spacing w:after="40"/>
              <w:jc w:val="left"/>
            </w:pPr>
            <w:r>
              <w:rPr>
                <w:rFonts w:ascii="Arial" w:hAnsi="Arial"/>
                <w:b/>
                <w:color w:val="FFFFFF"/>
                <w:sz w:val="19"/>
              </w:rPr>
              <w:t>Confidence Level</w:t>
            </w:r>
          </w:p>
        </w:tc>
      </w:tr>
      <w:tr>
        <w:tc>
          <w:tcPr>
            <w:tcW w:type="dxa" w:w="2160"/>
            <w:shd w:fill="FFFFFF"/>
          </w:tcPr>
          <w:p>
            <w:pPr>
              <w:spacing w:after="40"/>
            </w:pPr>
            <w:r>
              <w:rPr>
                <w:sz w:val="18"/>
              </w:rPr>
              <w:t>Architectural</w:t>
            </w:r>
          </w:p>
        </w:tc>
        <w:tc>
          <w:tcPr>
            <w:tcW w:type="dxa" w:w="3600"/>
            <w:shd w:fill="FFFFFF"/>
          </w:tcPr>
          <w:p>
            <w:pPr>
              <w:spacing w:after="40"/>
            </w:pPr>
            <w:r>
              <w:rPr>
                <w:sz w:val="18"/>
              </w:rPr>
              <w:t>Largest concentration of fresco-adorned courtyard havelis in Asia.</w:t>
            </w:r>
          </w:p>
        </w:tc>
        <w:tc>
          <w:tcPr>
            <w:tcW w:type="dxa" w:w="2880"/>
            <w:shd w:fill="FFFFFF"/>
          </w:tcPr>
          <w:p>
            <w:pPr>
              <w:spacing w:after="40"/>
            </w:pPr>
            <w:r>
              <w:rPr>
                <w:sz w:val="18"/>
              </w:rPr>
              <w:t>Double-courtyard planning, Jharokhas, Torans, Araish plaster.</w:t>
            </w:r>
          </w:p>
        </w:tc>
        <w:tc>
          <w:tcPr>
            <w:tcW w:type="dxa" w:w="1728"/>
            <w:shd w:fill="FFFFFF"/>
          </w:tcPr>
          <w:p>
            <w:pPr>
              <w:spacing w:after="40"/>
            </w:pPr>
            <w:r>
              <w:rPr>
                <w:sz w:val="18"/>
              </w:rPr>
              <w:t>HIGH [SHK-S001]</w:t>
            </w:r>
          </w:p>
        </w:tc>
      </w:tr>
      <w:tr>
        <w:tc>
          <w:tcPr>
            <w:tcW w:type="dxa" w:w="2160"/>
            <w:shd w:fill="F1F5F9"/>
          </w:tcPr>
          <w:p>
            <w:pPr>
              <w:spacing w:after="40"/>
            </w:pPr>
            <w:r>
              <w:rPr>
                <w:sz w:val="18"/>
              </w:rPr>
              <w:t>Historical</w:t>
            </w:r>
          </w:p>
        </w:tc>
        <w:tc>
          <w:tcPr>
            <w:tcW w:type="dxa" w:w="3600"/>
            <w:shd w:fill="F1F5F9"/>
          </w:tcPr>
          <w:p>
            <w:pPr>
              <w:spacing w:after="40"/>
            </w:pPr>
            <w:r>
              <w:rPr>
                <w:sz w:val="18"/>
              </w:rPr>
              <w:t>Feudal thikana system of Shekhawat Kachhwaha Rajputs derived from Rao Shekha.</w:t>
            </w:r>
          </w:p>
        </w:tc>
        <w:tc>
          <w:tcPr>
            <w:tcW w:type="dxa" w:w="2880"/>
            <w:shd w:fill="F1F5F9"/>
          </w:tcPr>
          <w:p>
            <w:pPr>
              <w:spacing w:after="40"/>
            </w:pPr>
            <w:r>
              <w:rPr>
                <w:sz w:val="18"/>
              </w:rPr>
              <w:t>Forts of Mandawa, Dundlod, Khetri, Ramgarh, Sikar, Jhunjhunu.</w:t>
            </w:r>
          </w:p>
        </w:tc>
        <w:tc>
          <w:tcPr>
            <w:tcW w:type="dxa" w:w="1728"/>
            <w:shd w:fill="F1F5F9"/>
          </w:tcPr>
          <w:p>
            <w:pPr>
              <w:spacing w:after="40"/>
            </w:pPr>
            <w:r>
              <w:rPr>
                <w:sz w:val="18"/>
              </w:rPr>
              <w:t>HIGH [SHK-S002]</w:t>
            </w:r>
          </w:p>
        </w:tc>
      </w:tr>
      <w:tr>
        <w:tc>
          <w:tcPr>
            <w:tcW w:type="dxa" w:w="2160"/>
            <w:shd w:fill="FFFFFF"/>
          </w:tcPr>
          <w:p>
            <w:pPr>
              <w:spacing w:after="40"/>
            </w:pPr>
            <w:r>
              <w:rPr>
                <w:sz w:val="18"/>
              </w:rPr>
              <w:t>Mercantile</w:t>
            </w:r>
          </w:p>
        </w:tc>
        <w:tc>
          <w:tcPr>
            <w:tcW w:type="dxa" w:w="3600"/>
            <w:shd w:fill="FFFFFF"/>
          </w:tcPr>
          <w:p>
            <w:pPr>
              <w:spacing w:after="40"/>
            </w:pPr>
            <w:r>
              <w:rPr>
                <w:sz w:val="18"/>
              </w:rPr>
              <w:t>Birthplace of India's most prominent Marwari business houses.</w:t>
            </w:r>
          </w:p>
        </w:tc>
        <w:tc>
          <w:tcPr>
            <w:tcW w:type="dxa" w:w="2880"/>
            <w:shd w:fill="FFFFFF"/>
          </w:tcPr>
          <w:p>
            <w:pPr>
              <w:spacing w:after="40"/>
            </w:pPr>
            <w:r>
              <w:rPr>
                <w:sz w:val="18"/>
              </w:rPr>
              <w:t>Poddar, Goenka, Birla, Singhania, Ruia, Piramal ancestral havelis.</w:t>
            </w:r>
          </w:p>
        </w:tc>
        <w:tc>
          <w:tcPr>
            <w:tcW w:type="dxa" w:w="1728"/>
            <w:shd w:fill="FFFFFF"/>
          </w:tcPr>
          <w:p>
            <w:pPr>
              <w:spacing w:after="40"/>
            </w:pPr>
            <w:r>
              <w:rPr>
                <w:sz w:val="18"/>
              </w:rPr>
              <w:t>HIGH [SHK-S005]</w:t>
            </w:r>
          </w:p>
        </w:tc>
      </w:tr>
      <w:tr>
        <w:tc>
          <w:tcPr>
            <w:tcW w:type="dxa" w:w="2160"/>
            <w:shd w:fill="F1F5F9"/>
          </w:tcPr>
          <w:p>
            <w:pPr>
              <w:spacing w:after="40"/>
            </w:pPr>
            <w:r>
              <w:rPr>
                <w:sz w:val="18"/>
              </w:rPr>
              <w:t>Artistic</w:t>
            </w:r>
          </w:p>
        </w:tc>
        <w:tc>
          <w:tcPr>
            <w:tcW w:type="dxa" w:w="3600"/>
            <w:shd w:fill="F1F5F9"/>
          </w:tcPr>
          <w:p>
            <w:pPr>
              <w:spacing w:after="40"/>
            </w:pPr>
            <w:r>
              <w:rPr>
                <w:sz w:val="18"/>
              </w:rPr>
              <w:t>Distinctive Shekhawati fresco style combining indigenous pigments &amp; colonial themes.</w:t>
            </w:r>
          </w:p>
        </w:tc>
        <w:tc>
          <w:tcPr>
            <w:tcW w:type="dxa" w:w="2880"/>
            <w:shd w:fill="F1F5F9"/>
          </w:tcPr>
          <w:p>
            <w:pPr>
              <w:spacing w:after="40"/>
            </w:pPr>
            <w:r>
              <w:rPr>
                <w:sz w:val="18"/>
              </w:rPr>
              <w:t>Wall paintings depicting steam engines, aeroplanes, Krishna-leela.</w:t>
            </w:r>
          </w:p>
        </w:tc>
        <w:tc>
          <w:tcPr>
            <w:tcW w:type="dxa" w:w="1728"/>
            <w:shd w:fill="F1F5F9"/>
          </w:tcPr>
          <w:p>
            <w:pPr>
              <w:spacing w:after="40"/>
            </w:pPr>
            <w:r>
              <w:rPr>
                <w:sz w:val="18"/>
              </w:rPr>
              <w:t>HIGH [SHK-S004]</w:t>
            </w:r>
          </w:p>
        </w:tc>
      </w:tr>
      <w:tr>
        <w:tc>
          <w:tcPr>
            <w:tcW w:type="dxa" w:w="2160"/>
            <w:shd w:fill="FFFFFF"/>
          </w:tcPr>
          <w:p>
            <w:pPr>
              <w:spacing w:after="40"/>
            </w:pPr>
            <w:r>
              <w:rPr>
                <w:sz w:val="18"/>
              </w:rPr>
              <w:t>Hydrological</w:t>
            </w:r>
          </w:p>
        </w:tc>
        <w:tc>
          <w:tcPr>
            <w:tcW w:type="dxa" w:w="3600"/>
            <w:shd w:fill="FFFFFF"/>
          </w:tcPr>
          <w:p>
            <w:pPr>
              <w:spacing w:after="40"/>
            </w:pPr>
            <w:r>
              <w:rPr>
                <w:sz w:val="18"/>
              </w:rPr>
              <w:t>Traditional arid water-harvesting architecture adapted to Thar desert edge.</w:t>
            </w:r>
          </w:p>
        </w:tc>
        <w:tc>
          <w:tcPr>
            <w:tcW w:type="dxa" w:w="2880"/>
            <w:shd w:fill="FFFFFF"/>
          </w:tcPr>
          <w:p>
            <w:pPr>
              <w:spacing w:after="40"/>
            </w:pPr>
            <w:r>
              <w:rPr>
                <w:sz w:val="18"/>
              </w:rPr>
              <w:t>Baoris (stepwells), Johads (check dams), Kunds, covered wells.</w:t>
            </w:r>
          </w:p>
        </w:tc>
        <w:tc>
          <w:tcPr>
            <w:tcW w:type="dxa" w:w="1728"/>
            <w:shd w:fill="FFFFFF"/>
          </w:tcPr>
          <w:p>
            <w:pPr>
              <w:spacing w:after="40"/>
            </w:pPr>
            <w:r>
              <w:rPr>
                <w:sz w:val="18"/>
              </w:rPr>
              <w:t>HIGH [SHK-S007]</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[AUTHORITATIVE CULTURAL BOUNDARY NOTE]</w:t>
              <w:br/>
            </w:r>
            <w:r>
              <w:rPr>
                <w:sz w:val="19"/>
              </w:rPr>
              <w:t>Shekhawati is distinct from wider Rajasthan due to its unique combination of Rajput thikana autonomy and merchant-led artistic patronage. Information verified against Ministry of Culture (Govt of India), Rajasthan Tourism, and INTACH records.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