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02. Geography and Environmental Context</w:t>
      </w:r>
    </w:p>
    <w:p>
      <w:pPr>
        <w:spacing w:before="280" w:after="120"/>
      </w:pPr>
      <w:r>
        <w:rPr>
          <w:rFonts w:ascii="Arial" w:hAnsi="Arial"/>
          <w:b/>
          <w:color w:val="8B0000"/>
          <w:sz w:val="30"/>
        </w:rPr>
        <w:t>1. Geographical Location &amp; Arid Topography</w:t>
      </w:r>
    </w:p>
    <w:p>
      <w:pPr>
        <w:spacing w:after="120" w:line="276" w:lineRule="auto"/>
      </w:pPr>
      <w:r>
        <w:rPr>
          <w:i w:val="0"/>
        </w:rPr>
        <w:t>Shekhawati lies on the eastern fringe of the Thar Desert in north-eastern Rajasthan, acting as a transitional zone between the arid desert dunes to the west and the semi-arid Aravalli hill ranges to the south and east. The landscape is characterized by rolling sand dunes (tibbas), sandy alluvial plains, and isolated granite rocky outcrops belonging to the Aravalli system in Khetri and Sikar districts.</w:t>
      </w:r>
    </w:p>
    <w:p>
      <w:pPr>
        <w:pStyle w:val="ListBullet"/>
        <w:spacing w:after="80" w:line="276" w:lineRule="auto"/>
      </w:pPr>
      <w:r>
        <w:rPr>
          <w:b/>
          <w:color w:val="1A365D"/>
        </w:rPr>
        <w:t xml:space="preserve">Administrative Boundaries: </w:t>
      </w:r>
      <w:r>
        <w:t>Sikar District, Jhunjhunu District, Churu District, and parts of Sujangarh/Nagaur.</w:t>
      </w:r>
    </w:p>
    <w:p>
      <w:pPr>
        <w:pStyle w:val="ListBullet"/>
        <w:spacing w:after="80" w:line="276" w:lineRule="auto"/>
      </w:pPr>
      <w:r>
        <w:rPr>
          <w:b/>
          <w:color w:val="1A365D"/>
        </w:rPr>
        <w:t xml:space="preserve">Climate Type: </w:t>
      </w:r>
      <w:r>
        <w:t>Hot semi-arid climate (Köppen: BSh) characterized by extreme temperature fluctuations.</w:t>
      </w:r>
    </w:p>
    <w:p>
      <w:pPr>
        <w:pStyle w:val="ListBullet"/>
        <w:spacing w:after="80" w:line="276" w:lineRule="auto"/>
      </w:pPr>
      <w:r>
        <w:rPr>
          <w:b/>
          <w:color w:val="1A365D"/>
        </w:rPr>
        <w:t xml:space="preserve">Temperature Range: </w:t>
      </w:r>
      <w:r>
        <w:t>Ranging from sub-zero / near 0°C in winter nights (December–January) to over 48°C in summer peak (May–June).</w:t>
      </w:r>
    </w:p>
    <w:p>
      <w:pPr>
        <w:pStyle w:val="ListBullet"/>
        <w:spacing w:after="80" w:line="276" w:lineRule="auto"/>
      </w:pPr>
      <w:r>
        <w:rPr>
          <w:b/>
          <w:color w:val="1A365D"/>
        </w:rPr>
        <w:t xml:space="preserve">Annual Rainfall: </w:t>
      </w:r>
      <w:r>
        <w:t>300 mm in western Churu to 450 mm in eastern Jhunjhunu, concentrated entirely during the South-West Monsoon (July–September).</w:t>
      </w:r>
    </w:p>
    <w:p>
      <w:pPr>
        <w:pStyle w:val="ListBullet"/>
        <w:spacing w:after="80" w:line="276" w:lineRule="auto"/>
      </w:pPr>
      <w:r>
        <w:rPr>
          <w:b/>
          <w:color w:val="1A365D"/>
        </w:rPr>
        <w:t xml:space="preserve">Soil Characteristics: </w:t>
      </w:r>
      <w:r>
        <w:t>Deep sandy soils with low organic matter, highly susceptible to wind erosion and dune movement.</w:t>
      </w:r>
    </w:p>
    <w:p>
      <w:pPr>
        <w:spacing w:before="280" w:after="120"/>
      </w:pPr>
      <w:r>
        <w:rPr>
          <w:rFonts w:ascii="Arial" w:hAnsi="Arial"/>
          <w:b/>
          <w:color w:val="8B0000"/>
          <w:sz w:val="30"/>
        </w:rPr>
        <w:t>2. Flora, Fauna &amp; Arid Ecological Adaptation</w:t>
      </w:r>
    </w:p>
    <w:p>
      <w:pPr>
        <w:spacing w:after="120" w:line="276" w:lineRule="auto"/>
      </w:pPr>
      <w:r>
        <w:rPr>
          <w:i w:val="0"/>
        </w:rPr>
        <w:t>The indigenous vegetation of Shekhawati is dry tropical thorn forest and desert scrub. Human survival in this harsh environment relied on deep ecological literacy and sacred reverence for native species:</w:t>
      </w:r>
    </w:p>
    <w:p>
      <w:pPr>
        <w:pStyle w:val="ListBullet"/>
        <w:spacing w:after="80" w:line="276" w:lineRule="auto"/>
      </w:pPr>
      <w:r>
        <w:rPr>
          <w:b/>
          <w:color w:val="1A365D"/>
        </w:rPr>
        <w:t xml:space="preserve">Khejri Tree: </w:t>
      </w:r>
      <w:r>
        <w:t>Prosopis cineraria — The state tree of Rajasthan, revered as sacred. Provides shade, animal fodder (Loong), and edible pods (Sangri).</w:t>
      </w:r>
    </w:p>
    <w:p>
      <w:pPr>
        <w:pStyle w:val="ListBullet"/>
        <w:spacing w:after="80" w:line="276" w:lineRule="auto"/>
      </w:pPr>
      <w:r>
        <w:rPr>
          <w:b/>
          <w:color w:val="1A365D"/>
        </w:rPr>
        <w:t xml:space="preserve">Rohida Tree: </w:t>
      </w:r>
      <w:r>
        <w:t>Tecomella undulata — Known as the Desert Teak, producing vibrant yellow and orange blossoms used in traditional crafts.</w:t>
      </w:r>
    </w:p>
    <w:p>
      <w:pPr>
        <w:pStyle w:val="ListBullet"/>
        <w:spacing w:after="80" w:line="276" w:lineRule="auto"/>
      </w:pPr>
      <w:r>
        <w:rPr>
          <w:b/>
          <w:color w:val="1A365D"/>
        </w:rPr>
        <w:t xml:space="preserve">Ker Shrub: </w:t>
      </w:r>
      <w:r>
        <w:t>Capparis decidua — Leafless thorny shrub yielding Ker berries, essential for traditional food preservation (Ker Sangri).</w:t>
      </w:r>
    </w:p>
    <w:p>
      <w:pPr>
        <w:pStyle w:val="ListBullet"/>
        <w:spacing w:after="80" w:line="276" w:lineRule="auto"/>
      </w:pPr>
      <w:r>
        <w:rPr>
          <w:b/>
          <w:color w:val="1A365D"/>
        </w:rPr>
        <w:t xml:space="preserve">Other Key Flora: </w:t>
      </w:r>
      <w:r>
        <w:t>Acacia senegal (Kumat), Salvadora oleoides (Jal), Ziziphus mauritiana (Ber).</w:t>
      </w:r>
    </w:p>
    <w:p>
      <w:pPr>
        <w:pStyle w:val="ListBullet"/>
        <w:spacing w:after="80" w:line="276" w:lineRule="auto"/>
      </w:pPr>
      <w:r>
        <w:rPr>
          <w:b/>
          <w:color w:val="1A365D"/>
        </w:rPr>
        <w:t xml:space="preserve">Faunal Diversity: </w:t>
      </w:r>
      <w:r>
        <w:t>Indian Gazelle (Chinkara), Nilgai, Desert Fox, Indian Peafowl, Blackbuck (notably in Tal Chhapar Sanctuary, Churu).</w:t>
      </w:r>
    </w:p>
    <w:p>
      <w:pPr>
        <w:spacing w:before="280" w:after="120"/>
      </w:pPr>
      <w:r>
        <w:rPr>
          <w:rFonts w:ascii="Arial" w:hAnsi="Arial"/>
          <w:b/>
          <w:color w:val="8B0000"/>
          <w:sz w:val="30"/>
        </w:rPr>
        <w:t>3. Environmental Influence on Human Settlement &amp; Architecture</w:t>
      </w:r>
    </w:p>
    <w:p>
      <w:pPr>
        <w:spacing w:after="120" w:line="276" w:lineRule="auto"/>
      </w:pPr>
      <w:r>
        <w:rPr>
          <w:i w:val="0"/>
        </w:rPr>
        <w:t>The arid environment of Shekhawati directly shaped every dimension of human culture, urban design, and architectural engineering:</w:t>
      </w:r>
    </w:p>
    <w:tbl>
      <w:tblPr>
        <w:tblW w:type="auto" w:w="0"/>
        <w:jc w:val="center"/>
        <w:tblLook w:firstColumn="1" w:firstRow="1" w:lastColumn="0" w:lastRow="0" w:noHBand="0" w:noVBand="1" w:val="04A0"/>
      </w:tblPr>
      <w:tblGrid>
        <w:gridCol w:w="3120"/>
        <w:gridCol w:w="3120"/>
        <w:gridCol w:w="3120"/>
      </w:tblGrid>
      <w:tr>
        <w:tc>
          <w:tcPr>
            <w:tcW w:type="dxa" w:w="2880"/>
            <w:shd w:fill="1E3A8A"/>
          </w:tcPr>
          <w:p>
            <w:pPr>
              <w:spacing w:after="40"/>
              <w:jc w:val="left"/>
            </w:pPr>
            <w:r>
              <w:rPr>
                <w:rFonts w:ascii="Arial" w:hAnsi="Arial"/>
                <w:b/>
                <w:color w:val="FFFFFF"/>
                <w:sz w:val="19"/>
              </w:rPr>
              <w:t>Environmental Challenge</w:t>
            </w:r>
          </w:p>
        </w:tc>
        <w:tc>
          <w:tcPr>
            <w:tcW w:type="dxa" w:w="4320"/>
            <w:shd w:fill="1E3A8A"/>
          </w:tcPr>
          <w:p>
            <w:pPr>
              <w:spacing w:after="40"/>
              <w:jc w:val="left"/>
            </w:pPr>
            <w:r>
              <w:rPr>
                <w:rFonts w:ascii="Arial" w:hAnsi="Arial"/>
                <w:b/>
                <w:color w:val="FFFFFF"/>
                <w:sz w:val="19"/>
              </w:rPr>
              <w:t>Human &amp; Architectural Adaptation</w:t>
            </w:r>
          </w:p>
        </w:tc>
        <w:tc>
          <w:tcPr>
            <w:tcW w:type="dxa" w:w="3168"/>
            <w:shd w:fill="1E3A8A"/>
          </w:tcPr>
          <w:p>
            <w:pPr>
              <w:spacing w:after="40"/>
              <w:jc w:val="left"/>
            </w:pPr>
            <w:r>
              <w:rPr>
                <w:rFonts w:ascii="Arial" w:hAnsi="Arial"/>
                <w:b/>
                <w:color w:val="FFFFFF"/>
                <w:sz w:val="19"/>
              </w:rPr>
              <w:t>Cultural Outcome</w:t>
            </w:r>
          </w:p>
        </w:tc>
      </w:tr>
      <w:tr>
        <w:tc>
          <w:tcPr>
            <w:tcW w:type="dxa" w:w="2880"/>
            <w:shd w:fill="FFFFFF"/>
          </w:tcPr>
          <w:p>
            <w:pPr>
              <w:spacing w:after="40"/>
            </w:pPr>
            <w:r>
              <w:rPr>
                <w:sz w:val="18"/>
              </w:rPr>
              <w:t>Scarcity of Surface Water</w:t>
            </w:r>
          </w:p>
        </w:tc>
        <w:tc>
          <w:tcPr>
            <w:tcW w:type="dxa" w:w="4320"/>
            <w:shd w:fill="FFFFFF"/>
          </w:tcPr>
          <w:p>
            <w:pPr>
              <w:spacing w:after="40"/>
            </w:pPr>
            <w:r>
              <w:rPr>
                <w:sz w:val="18"/>
              </w:rPr>
              <w:t>Construction of deep Kunds, Johads, and intricate Baoris (stepwells).</w:t>
            </w:r>
          </w:p>
        </w:tc>
        <w:tc>
          <w:tcPr>
            <w:tcW w:type="dxa" w:w="3168"/>
            <w:shd w:fill="FFFFFF"/>
          </w:tcPr>
          <w:p>
            <w:pPr>
              <w:spacing w:after="40"/>
            </w:pPr>
            <w:r>
              <w:rPr>
                <w:sz w:val="18"/>
              </w:rPr>
              <w:t>Reverence for water; water collection as a sacred community ritual [SHK-S007].</w:t>
            </w:r>
          </w:p>
        </w:tc>
      </w:tr>
      <w:tr>
        <w:tc>
          <w:tcPr>
            <w:tcW w:type="dxa" w:w="2880"/>
            <w:shd w:fill="F1F5F9"/>
          </w:tcPr>
          <w:p>
            <w:pPr>
              <w:spacing w:after="40"/>
            </w:pPr>
            <w:r>
              <w:rPr>
                <w:sz w:val="18"/>
              </w:rPr>
              <w:t>Extreme Summer Heat &amp; Dust</w:t>
            </w:r>
          </w:p>
        </w:tc>
        <w:tc>
          <w:tcPr>
            <w:tcW w:type="dxa" w:w="4320"/>
            <w:shd w:fill="F1F5F9"/>
          </w:tcPr>
          <w:p>
            <w:pPr>
              <w:spacing w:after="40"/>
            </w:pPr>
            <w:r>
              <w:rPr>
                <w:sz w:val="18"/>
              </w:rPr>
              <w:t>High masonry walls, tiny exterior windows, deep central courtyards (Chowks).</w:t>
            </w:r>
          </w:p>
        </w:tc>
        <w:tc>
          <w:tcPr>
            <w:tcW w:type="dxa" w:w="3168"/>
            <w:shd w:fill="F1F5F9"/>
          </w:tcPr>
          <w:p>
            <w:pPr>
              <w:spacing w:after="40"/>
            </w:pPr>
            <w:r>
              <w:rPr>
                <w:sz w:val="18"/>
              </w:rPr>
              <w:t>Thermal comfort; dust-free inner family living spaces (Zenana).</w:t>
            </w:r>
          </w:p>
        </w:tc>
      </w:tr>
      <w:tr>
        <w:tc>
          <w:tcPr>
            <w:tcW w:type="dxa" w:w="2880"/>
            <w:shd w:fill="FFFFFF"/>
          </w:tcPr>
          <w:p>
            <w:pPr>
              <w:spacing w:after="40"/>
            </w:pPr>
            <w:r>
              <w:rPr>
                <w:sz w:val="18"/>
              </w:rPr>
              <w:t>Agricultural Vulnerability</w:t>
            </w:r>
          </w:p>
        </w:tc>
        <w:tc>
          <w:tcPr>
            <w:tcW w:type="dxa" w:w="4320"/>
            <w:shd w:fill="FFFFFF"/>
          </w:tcPr>
          <w:p>
            <w:pPr>
              <w:spacing w:after="40"/>
            </w:pPr>
            <w:r>
              <w:rPr>
                <w:sz w:val="18"/>
              </w:rPr>
              <w:t>Dependence on drought-resistant coarse grains (Bajra, Moth, Moong).</w:t>
            </w:r>
          </w:p>
        </w:tc>
        <w:tc>
          <w:tcPr>
            <w:tcW w:type="dxa" w:w="3168"/>
            <w:shd w:fill="FFFFFF"/>
          </w:tcPr>
          <w:p>
            <w:pPr>
              <w:spacing w:after="40"/>
            </w:pPr>
            <w:r>
              <w:rPr>
                <w:sz w:val="18"/>
              </w:rPr>
              <w:t>Development of long-lasting preserved foods (Ker Sangri, Papad, Rabri).</w:t>
            </w:r>
          </w:p>
        </w:tc>
      </w:tr>
      <w:tr>
        <w:tc>
          <w:tcPr>
            <w:tcW w:type="dxa" w:w="2880"/>
            <w:shd w:fill="F1F5F9"/>
          </w:tcPr>
          <w:p>
            <w:pPr>
              <w:spacing w:after="40"/>
            </w:pPr>
            <w:r>
              <w:rPr>
                <w:sz w:val="18"/>
              </w:rPr>
              <w:t>Building Material Availability</w:t>
            </w:r>
          </w:p>
        </w:tc>
        <w:tc>
          <w:tcPr>
            <w:tcW w:type="dxa" w:w="4320"/>
            <w:shd w:fill="F1F5F9"/>
          </w:tcPr>
          <w:p>
            <w:pPr>
              <w:spacing w:after="40"/>
            </w:pPr>
            <w:r>
              <w:rPr>
                <w:sz w:val="18"/>
              </w:rPr>
              <w:t>Use of local sandstone, lime plaster (Araish), and mud brick.</w:t>
            </w:r>
          </w:p>
        </w:tc>
        <w:tc>
          <w:tcPr>
            <w:tcW w:type="dxa" w:w="3168"/>
            <w:shd w:fill="F1F5F9"/>
          </w:tcPr>
          <w:p>
            <w:pPr>
              <w:spacing w:after="40"/>
            </w:pPr>
            <w:r>
              <w:rPr>
                <w:sz w:val="18"/>
              </w:rPr>
              <w:t>Evolution of the fresco painting medium on wet lime plaster.</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