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03. Comprehensive History of Shekhawati</w:t>
      </w:r>
    </w:p>
    <w:p>
      <w:pPr>
        <w:spacing w:before="280" w:after="120"/>
      </w:pPr>
      <w:r>
        <w:rPr>
          <w:rFonts w:ascii="Arial" w:hAnsi="Arial"/>
          <w:b/>
          <w:color w:val="8B0000"/>
          <w:sz w:val="30"/>
        </w:rPr>
        <w:t>1. Ancient &amp; Proto-Historic Foundations</w:t>
      </w:r>
    </w:p>
    <w:p>
      <w:pPr>
        <w:spacing w:after="120" w:line="276" w:lineRule="auto"/>
      </w:pPr>
      <w:r>
        <w:rPr>
          <w:i w:val="0"/>
        </w:rPr>
        <w:t>Archaeological surveys by the Archaeological Survey of India (ASI) and Rajasthan State Department of Archaeology confirm that the Shekhawati region has been continuously inhabited since the Chalcolithic period (c. 2800–1500 BCE). The Ganeshwar-Jodhpura copper complex in Sikar district reveals an advanced Chalcolithic culture that supplied copper artifacts to Harappan settlements along the Indus and Saraswati river basins [Source: SHK-S003].</w:t>
      </w:r>
    </w:p>
    <w:p>
      <w:pPr>
        <w:spacing w:before="280" w:after="120"/>
      </w:pPr>
      <w:r>
        <w:rPr>
          <w:rFonts w:ascii="Arial" w:hAnsi="Arial"/>
          <w:b/>
          <w:color w:val="8B0000"/>
          <w:sz w:val="30"/>
        </w:rPr>
        <w:t>2. Medieval Political Dynamics &amp; Muslim Nawabs</w:t>
      </w:r>
    </w:p>
    <w:p>
      <w:pPr>
        <w:spacing w:after="120" w:line="276" w:lineRule="auto"/>
      </w:pPr>
      <w:r>
        <w:rPr>
          <w:i w:val="0"/>
        </w:rPr>
        <w:t>During the medieval period, northern Shekhawati fell under the rule of the Kaimkhani Nawabs—descendants of Kaim Khan (formerly Karamchand Janjua), who converted to Islam during the reign of Firoz Shah Tughlaq in the late 14th century. The Kaimkhanis established principalities at Fatehpur (founded 1445 CE by Nawab Fateh Khan) and Jhunjhunu, holding power until their conquest by Rajput chieftains in the 18th century.</w:t>
      </w:r>
    </w:p>
    <w:p>
      <w:pPr>
        <w:spacing w:before="280" w:after="120"/>
      </w:pPr>
      <w:r>
        <w:rPr>
          <w:rFonts w:ascii="Arial" w:hAnsi="Arial"/>
          <w:b/>
          <w:color w:val="8B0000"/>
          <w:sz w:val="30"/>
        </w:rPr>
        <w:t>3. The Rise of Rao Shekha &amp; Clan Independence</w:t>
      </w:r>
    </w:p>
    <w:p>
      <w:pPr>
        <w:spacing w:after="120" w:line="276" w:lineRule="auto"/>
      </w:pPr>
      <w:r>
        <w:rPr>
          <w:i w:val="0"/>
        </w:rPr>
        <w:t>The modern identity of Shekhawati originated with Rao Shekhaji (1433–1488 CE), a grand-nephew of Raja Chandrasen of Amber (Kachhwaha clan). Rao Shekha succeeded his father Mokal Singh as chieftain of Barwada. Demonstrating remarkable military diplomacy and tactical prowess, Shekha forged alliances with Panni Afghan tribes and declared independence from the Amber Durbar in 1471 CE. He established his capital at Amarsar, founding the Shekhawat sub-clan [Source: SHK-S002].</w:t>
      </w:r>
    </w:p>
    <w:p>
      <w:pPr>
        <w:spacing w:before="280" w:after="120"/>
      </w:pPr>
      <w:r>
        <w:rPr>
          <w:rFonts w:ascii="Arial" w:hAnsi="Arial"/>
          <w:b/>
          <w:color w:val="8B0000"/>
          <w:sz w:val="30"/>
        </w:rPr>
        <w:t>4. Chronological Historical Timeline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Era / Date</w:t>
            </w:r>
          </w:p>
        </w:tc>
        <w:tc>
          <w:tcPr>
            <w:tcW w:type="dxa" w:w="3600"/>
            <w:shd w:fill="1E3A8A"/>
          </w:tcPr>
          <w:p>
            <w:pPr>
              <w:spacing w:after="40"/>
              <w:jc w:val="left"/>
            </w:pPr>
            <w:r>
              <w:rPr>
                <w:rFonts w:ascii="Arial" w:hAnsi="Arial"/>
                <w:b/>
                <w:color w:val="FFFFFF"/>
                <w:sz w:val="19"/>
              </w:rPr>
              <w:t>Historical Event / Milestone</w:t>
            </w:r>
          </w:p>
        </w:tc>
        <w:tc>
          <w:tcPr>
            <w:tcW w:type="dxa" w:w="2592"/>
            <w:shd w:fill="1E3A8A"/>
          </w:tcPr>
          <w:p>
            <w:pPr>
              <w:spacing w:after="40"/>
              <w:jc w:val="left"/>
            </w:pPr>
            <w:r>
              <w:rPr>
                <w:rFonts w:ascii="Arial" w:hAnsi="Arial"/>
                <w:b/>
                <w:color w:val="FFFFFF"/>
                <w:sz w:val="19"/>
              </w:rPr>
              <w:t>Key Historical Figures</w:t>
            </w:r>
          </w:p>
        </w:tc>
        <w:tc>
          <w:tcPr>
            <w:tcW w:type="dxa" w:w="2880"/>
            <w:shd w:fill="1E3A8A"/>
          </w:tcPr>
          <w:p>
            <w:pPr>
              <w:spacing w:after="40"/>
              <w:jc w:val="left"/>
            </w:pPr>
            <w:r>
              <w:rPr>
                <w:rFonts w:ascii="Arial" w:hAnsi="Arial"/>
                <w:b/>
                <w:color w:val="FFFFFF"/>
                <w:sz w:val="19"/>
              </w:rPr>
              <w:t>Significance</w:t>
            </w:r>
          </w:p>
        </w:tc>
      </w:tr>
      <w:tr>
        <w:tc>
          <w:tcPr>
            <w:tcW w:type="dxa" w:w="2160"/>
            <w:shd w:fill="FFFFFF"/>
          </w:tcPr>
          <w:p>
            <w:pPr>
              <w:spacing w:after="40"/>
            </w:pPr>
            <w:r>
              <w:rPr>
                <w:sz w:val="18"/>
              </w:rPr>
              <w:t>c. 2800–1500 BCE</w:t>
            </w:r>
          </w:p>
        </w:tc>
        <w:tc>
          <w:tcPr>
            <w:tcW w:type="dxa" w:w="3600"/>
            <w:shd w:fill="FFFFFF"/>
          </w:tcPr>
          <w:p>
            <w:pPr>
              <w:spacing w:after="40"/>
            </w:pPr>
            <w:r>
              <w:rPr>
                <w:sz w:val="18"/>
              </w:rPr>
              <w:t>Ganeshwar-Jodhpura Chalcolithic Culture.</w:t>
            </w:r>
          </w:p>
        </w:tc>
        <w:tc>
          <w:tcPr>
            <w:tcW w:type="dxa" w:w="2592"/>
            <w:shd w:fill="FFFFFF"/>
          </w:tcPr>
          <w:p>
            <w:pPr>
              <w:spacing w:after="40"/>
            </w:pPr>
            <w:r>
              <w:rPr>
                <w:sz w:val="18"/>
              </w:rPr>
              <w:t>Early Indigenous Artisans</w:t>
            </w:r>
          </w:p>
        </w:tc>
        <w:tc>
          <w:tcPr>
            <w:tcW w:type="dxa" w:w="2880"/>
            <w:shd w:fill="FFFFFF"/>
          </w:tcPr>
          <w:p>
            <w:pPr>
              <w:spacing w:after="40"/>
            </w:pPr>
            <w:r>
              <w:rPr>
                <w:sz w:val="18"/>
              </w:rPr>
              <w:t>Earliest copper extraction &amp; metallurgical center in Rajasthan.</w:t>
            </w:r>
          </w:p>
        </w:tc>
      </w:tr>
      <w:tr>
        <w:tc>
          <w:tcPr>
            <w:tcW w:type="dxa" w:w="2160"/>
            <w:shd w:fill="F1F5F9"/>
          </w:tcPr>
          <w:p>
            <w:pPr>
              <w:spacing w:after="40"/>
            </w:pPr>
            <w:r>
              <w:rPr>
                <w:sz w:val="18"/>
              </w:rPr>
              <w:t>1433–1488 CE</w:t>
            </w:r>
          </w:p>
        </w:tc>
        <w:tc>
          <w:tcPr>
            <w:tcW w:type="dxa" w:w="3600"/>
            <w:shd w:fill="F1F5F9"/>
          </w:tcPr>
          <w:p>
            <w:pPr>
              <w:spacing w:after="40"/>
            </w:pPr>
            <w:r>
              <w:rPr>
                <w:sz w:val="18"/>
              </w:rPr>
              <w:t>Reign of Rao Shekha; founding of Shekhawati.</w:t>
            </w:r>
          </w:p>
        </w:tc>
        <w:tc>
          <w:tcPr>
            <w:tcW w:type="dxa" w:w="2592"/>
            <w:shd w:fill="F1F5F9"/>
          </w:tcPr>
          <w:p>
            <w:pPr>
              <w:spacing w:after="40"/>
            </w:pPr>
            <w:r>
              <w:rPr>
                <w:sz w:val="18"/>
              </w:rPr>
              <w:t>Rao Shekhaji, Sheikh Burhan</w:t>
            </w:r>
          </w:p>
        </w:tc>
        <w:tc>
          <w:tcPr>
            <w:tcW w:type="dxa" w:w="2880"/>
            <w:shd w:fill="F1F5F9"/>
          </w:tcPr>
          <w:p>
            <w:pPr>
              <w:spacing w:after="40"/>
            </w:pPr>
            <w:r>
              <w:rPr>
                <w:sz w:val="18"/>
              </w:rPr>
              <w:t>Establishment of independent Shekhawat Rajput sovereignty.</w:t>
            </w:r>
          </w:p>
        </w:tc>
      </w:tr>
      <w:tr>
        <w:tc>
          <w:tcPr>
            <w:tcW w:type="dxa" w:w="2160"/>
            <w:shd w:fill="FFFFFF"/>
          </w:tcPr>
          <w:p>
            <w:pPr>
              <w:spacing w:after="40"/>
            </w:pPr>
            <w:r>
              <w:rPr>
                <w:sz w:val="18"/>
              </w:rPr>
              <w:t>1445 CE</w:t>
            </w:r>
          </w:p>
        </w:tc>
        <w:tc>
          <w:tcPr>
            <w:tcW w:type="dxa" w:w="3600"/>
            <w:shd w:fill="FFFFFF"/>
          </w:tcPr>
          <w:p>
            <w:pPr>
              <w:spacing w:after="40"/>
            </w:pPr>
            <w:r>
              <w:rPr>
                <w:sz w:val="18"/>
              </w:rPr>
              <w:t>Founding of Fatehpur thikana.</w:t>
            </w:r>
          </w:p>
        </w:tc>
        <w:tc>
          <w:tcPr>
            <w:tcW w:type="dxa" w:w="2592"/>
            <w:shd w:fill="FFFFFF"/>
          </w:tcPr>
          <w:p>
            <w:pPr>
              <w:spacing w:after="40"/>
            </w:pPr>
            <w:r>
              <w:rPr>
                <w:sz w:val="18"/>
              </w:rPr>
              <w:t>Nawab Fateh Khan Kaimkhani</w:t>
            </w:r>
          </w:p>
        </w:tc>
        <w:tc>
          <w:tcPr>
            <w:tcW w:type="dxa" w:w="2880"/>
            <w:shd w:fill="FFFFFF"/>
          </w:tcPr>
          <w:p>
            <w:pPr>
              <w:spacing w:after="40"/>
            </w:pPr>
            <w:r>
              <w:rPr>
                <w:sz w:val="18"/>
              </w:rPr>
              <w:t>Major Muslim Kaimkhani stronghold in northern Shekhawati.</w:t>
            </w:r>
          </w:p>
        </w:tc>
      </w:tr>
      <w:tr>
        <w:tc>
          <w:tcPr>
            <w:tcW w:type="dxa" w:w="2160"/>
            <w:shd w:fill="F1F5F9"/>
          </w:tcPr>
          <w:p>
            <w:pPr>
              <w:spacing w:after="40"/>
            </w:pPr>
            <w:r>
              <w:rPr>
                <w:sz w:val="18"/>
              </w:rPr>
              <w:t>1730 CE</w:t>
            </w:r>
          </w:p>
        </w:tc>
        <w:tc>
          <w:tcPr>
            <w:tcW w:type="dxa" w:w="3600"/>
            <w:shd w:fill="F1F5F9"/>
          </w:tcPr>
          <w:p>
            <w:pPr>
              <w:spacing w:after="40"/>
            </w:pPr>
            <w:r>
              <w:rPr>
                <w:sz w:val="18"/>
              </w:rPr>
              <w:t>Capture of Jhunjhunu by Thakur Shardul Singh.</w:t>
            </w:r>
          </w:p>
        </w:tc>
        <w:tc>
          <w:tcPr>
            <w:tcW w:type="dxa" w:w="2592"/>
            <w:shd w:fill="F1F5F9"/>
          </w:tcPr>
          <w:p>
            <w:pPr>
              <w:spacing w:after="40"/>
            </w:pPr>
            <w:r>
              <w:rPr>
                <w:sz w:val="18"/>
              </w:rPr>
              <w:t>Thakur Shardul Singh Shekhawat</w:t>
            </w:r>
          </w:p>
        </w:tc>
        <w:tc>
          <w:tcPr>
            <w:tcW w:type="dxa" w:w="2880"/>
            <w:shd w:fill="F1F5F9"/>
          </w:tcPr>
          <w:p>
            <w:pPr>
              <w:spacing w:after="40"/>
            </w:pPr>
            <w:r>
              <w:rPr>
                <w:sz w:val="18"/>
              </w:rPr>
              <w:t>End of Kaimkhani rule; unification of Shekhawati under Shekhawats.</w:t>
            </w:r>
          </w:p>
        </w:tc>
      </w:tr>
      <w:tr>
        <w:tc>
          <w:tcPr>
            <w:tcW w:type="dxa" w:w="2160"/>
            <w:shd w:fill="FFFFFF"/>
          </w:tcPr>
          <w:p>
            <w:pPr>
              <w:spacing w:after="40"/>
            </w:pPr>
            <w:r>
              <w:rPr>
                <w:sz w:val="18"/>
              </w:rPr>
              <w:t>1737 CE</w:t>
            </w:r>
          </w:p>
        </w:tc>
        <w:tc>
          <w:tcPr>
            <w:tcW w:type="dxa" w:w="3600"/>
            <w:shd w:fill="FFFFFF"/>
          </w:tcPr>
          <w:p>
            <w:pPr>
              <w:spacing w:after="40"/>
            </w:pPr>
            <w:r>
              <w:rPr>
                <w:sz w:val="18"/>
              </w:rPr>
              <w:t>Founding of Nawalgarh.</w:t>
            </w:r>
          </w:p>
        </w:tc>
        <w:tc>
          <w:tcPr>
            <w:tcW w:type="dxa" w:w="2592"/>
            <w:shd w:fill="FFFFFF"/>
          </w:tcPr>
          <w:p>
            <w:pPr>
              <w:spacing w:after="40"/>
            </w:pPr>
            <w:r>
              <w:rPr>
                <w:sz w:val="18"/>
              </w:rPr>
              <w:t>Thakur Nawal Singh</w:t>
            </w:r>
          </w:p>
        </w:tc>
        <w:tc>
          <w:tcPr>
            <w:tcW w:type="dxa" w:w="2880"/>
            <w:shd w:fill="FFFFFF"/>
          </w:tcPr>
          <w:p>
            <w:pPr>
              <w:spacing w:after="40"/>
            </w:pPr>
            <w:r>
              <w:rPr>
                <w:sz w:val="18"/>
              </w:rPr>
              <w:t>Establishment of the Panchpana thikana division.</w:t>
            </w:r>
          </w:p>
        </w:tc>
      </w:tr>
      <w:tr>
        <w:tc>
          <w:tcPr>
            <w:tcW w:type="dxa" w:w="2160"/>
            <w:shd w:fill="F1F5F9"/>
          </w:tcPr>
          <w:p>
            <w:pPr>
              <w:spacing w:after="40"/>
            </w:pPr>
            <w:r>
              <w:rPr>
                <w:sz w:val="18"/>
              </w:rPr>
              <w:t>1835–1847 CE</w:t>
            </w:r>
          </w:p>
        </w:tc>
        <w:tc>
          <w:tcPr>
            <w:tcW w:type="dxa" w:w="3600"/>
            <w:shd w:fill="F1F5F9"/>
          </w:tcPr>
          <w:p>
            <w:pPr>
              <w:spacing w:after="40"/>
            </w:pPr>
            <w:r>
              <w:rPr>
                <w:sz w:val="18"/>
              </w:rPr>
              <w:t>Deployment of the British Shekhawati Brigade.</w:t>
            </w:r>
          </w:p>
        </w:tc>
        <w:tc>
          <w:tcPr>
            <w:tcW w:type="dxa" w:w="2592"/>
            <w:shd w:fill="F1F5F9"/>
          </w:tcPr>
          <w:p>
            <w:pPr>
              <w:spacing w:after="40"/>
            </w:pPr>
            <w:r>
              <w:rPr>
                <w:sz w:val="18"/>
              </w:rPr>
              <w:t>Major Henry Forster</w:t>
            </w:r>
          </w:p>
        </w:tc>
        <w:tc>
          <w:tcPr>
            <w:tcW w:type="dxa" w:w="2880"/>
            <w:shd w:fill="F1F5F9"/>
          </w:tcPr>
          <w:p>
            <w:pPr>
              <w:spacing w:after="40"/>
            </w:pPr>
            <w:r>
              <w:rPr>
                <w:sz w:val="18"/>
              </w:rPr>
              <w:t>Colonial pacification of regional robber barons; trade route security.</w:t>
            </w:r>
          </w:p>
        </w:tc>
      </w:tr>
      <w:tr>
        <w:tc>
          <w:tcPr>
            <w:tcW w:type="dxa" w:w="2160"/>
            <w:shd w:fill="FFFFFF"/>
          </w:tcPr>
          <w:p>
            <w:pPr>
              <w:spacing w:after="40"/>
            </w:pPr>
            <w:r>
              <w:rPr>
                <w:sz w:val="18"/>
              </w:rPr>
              <w:t>1860–1920 CE</w:t>
            </w:r>
          </w:p>
        </w:tc>
        <w:tc>
          <w:tcPr>
            <w:tcW w:type="dxa" w:w="3600"/>
            <w:shd w:fill="FFFFFF"/>
          </w:tcPr>
          <w:p>
            <w:pPr>
              <w:spacing w:after="40"/>
            </w:pPr>
            <w:r>
              <w:rPr>
                <w:sz w:val="18"/>
              </w:rPr>
              <w:t>Mass migration of Marwari merchants to ports.</w:t>
            </w:r>
          </w:p>
        </w:tc>
        <w:tc>
          <w:tcPr>
            <w:tcW w:type="dxa" w:w="2592"/>
            <w:shd w:fill="FFFFFF"/>
          </w:tcPr>
          <w:p>
            <w:pPr>
              <w:spacing w:after="40"/>
            </w:pPr>
            <w:r>
              <w:rPr>
                <w:sz w:val="18"/>
              </w:rPr>
              <w:t>Poddar, Goenka, Birla Seths</w:t>
            </w:r>
          </w:p>
        </w:tc>
        <w:tc>
          <w:tcPr>
            <w:tcW w:type="dxa" w:w="2880"/>
            <w:shd w:fill="FFFFFF"/>
          </w:tcPr>
          <w:p>
            <w:pPr>
              <w:spacing w:after="40"/>
            </w:pPr>
            <w:r>
              <w:rPr>
                <w:sz w:val="18"/>
              </w:rPr>
              <w:t>Golden age of Haveli construction &amp; Fresco painting patronage.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