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08. Fresco Paintings &amp; Wall Art Techniques</w:t>
      </w:r>
    </w:p>
    <w:p>
      <w:pPr>
        <w:spacing w:before="280" w:after="120"/>
      </w:pPr>
      <w:r>
        <w:rPr>
          <w:rFonts w:ascii="Arial" w:hAnsi="Arial"/>
          <w:b/>
          <w:color w:val="8B0000"/>
          <w:sz w:val="30"/>
        </w:rPr>
        <w:t>1. The Shekhawati Fresco Process (Buon Fresco / Jaipur Araish)</w:t>
      </w:r>
    </w:p>
    <w:p>
      <w:pPr>
        <w:spacing w:after="120" w:line="276" w:lineRule="auto"/>
      </w:pPr>
      <w:r>
        <w:rPr>
          <w:i w:val="0"/>
        </w:rPr>
        <w:t>The wall paintings of Shekhawati are executed primarily using the true fresco technique ('buon fresco'), locally known as the 'Araish' or 'Jaipur plaster' process. Unlike tempera or dry wall painting ('fresco secco'), where pigments are painted on dry walls with a binder, buon fresco involves applying water-based pigments directly onto wet, fresh lime plaster [Source: SHK-S004].</w:t>
      </w:r>
    </w:p>
    <w:p>
      <w:pPr>
        <w:pStyle w:val="ListBullet"/>
        <w:spacing w:after="80" w:line="276" w:lineRule="auto"/>
      </w:pPr>
      <w:r>
        <w:rPr>
          <w:b/>
          <w:color w:val="1A365D"/>
        </w:rPr>
        <w:t xml:space="preserve">Plaster Composition: </w:t>
      </w:r>
      <w:r>
        <w:t>Slaked lime (Chuna) stored in underground pits for up to two years, mixed with marble dust (Kurkur), fine sand, and natural organic additives like curd (dahi), buttermilk (chhachh), and jaggery (gur).</w:t>
      </w:r>
    </w:p>
    <w:p>
      <w:pPr>
        <w:pStyle w:val="ListBullet"/>
        <w:spacing w:after="80" w:line="276" w:lineRule="auto"/>
      </w:pPr>
      <w:r>
        <w:rPr>
          <w:b/>
          <w:color w:val="1A365D"/>
        </w:rPr>
        <w:t xml:space="preserve">Application Layering: </w:t>
      </w:r>
      <w:r>
        <w:t>The plaster is applied to masonry walls in multiple layers. While the top fine layer is still wet, master painters (Cheteras) outline and paint the composition.</w:t>
      </w:r>
    </w:p>
    <w:p>
      <w:pPr>
        <w:pStyle w:val="ListBullet"/>
        <w:spacing w:after="80" w:line="276" w:lineRule="auto"/>
      </w:pPr>
      <w:r>
        <w:rPr>
          <w:b/>
          <w:color w:val="1A365D"/>
        </w:rPr>
        <w:t xml:space="preserve">Burnishing (Agate Polishing): </w:t>
      </w:r>
      <w:r>
        <w:t>The wet painted surface is vigorously burnished using a polished agate or quartz stone (Mohra). This mechanical pressure forces the mineral pigments deep into the lime matrix, bonding them chemically as calcium carbonate upon drying. The resulting surface is smooth, water-resistant, and possesses a marble-like sheen.</w:t>
      </w:r>
    </w:p>
    <w:p>
      <w:pPr>
        <w:spacing w:before="280" w:after="120"/>
      </w:pPr>
      <w:r>
        <w:rPr>
          <w:rFonts w:ascii="Arial" w:hAnsi="Arial"/>
          <w:b/>
          <w:color w:val="8B0000"/>
          <w:sz w:val="30"/>
        </w:rPr>
        <w:t>2. Traditional Pigment Chemistry &amp; Color Palette</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Pr>
          <w:p>
            <w:pPr>
              <w:spacing w:after="40"/>
              <w:jc w:val="left"/>
            </w:pPr>
            <w:r>
              <w:rPr>
                <w:rFonts w:ascii="Arial" w:hAnsi="Arial"/>
                <w:b/>
                <w:color w:val="FFFFFF"/>
                <w:sz w:val="19"/>
              </w:rPr>
              <w:t>Color Name</w:t>
            </w:r>
          </w:p>
        </w:tc>
        <w:tc>
          <w:tcPr>
            <w:tcW w:type="dxa" w:w="2160"/>
            <w:shd w:fill="1E3A8A"/>
          </w:tcPr>
          <w:p>
            <w:pPr>
              <w:spacing w:after="40"/>
              <w:jc w:val="left"/>
            </w:pPr>
            <w:r>
              <w:rPr>
                <w:rFonts w:ascii="Arial" w:hAnsi="Arial"/>
                <w:b/>
                <w:color w:val="FFFFFF"/>
                <w:sz w:val="19"/>
              </w:rPr>
              <w:t>Vernacular Term</w:t>
            </w:r>
          </w:p>
        </w:tc>
        <w:tc>
          <w:tcPr>
            <w:tcW w:type="dxa" w:w="3600"/>
            <w:shd w:fill="1E3A8A"/>
          </w:tcPr>
          <w:p>
            <w:pPr>
              <w:spacing w:after="40"/>
              <w:jc w:val="left"/>
            </w:pPr>
            <w:r>
              <w:rPr>
                <w:rFonts w:ascii="Arial" w:hAnsi="Arial"/>
                <w:b/>
                <w:color w:val="FFFFFF"/>
                <w:sz w:val="19"/>
              </w:rPr>
              <w:t>Source Material / Origin</w:t>
            </w:r>
          </w:p>
        </w:tc>
        <w:tc>
          <w:tcPr>
            <w:tcW w:type="dxa" w:w="3600"/>
            <w:shd w:fill="1E3A8A"/>
          </w:tcPr>
          <w:p>
            <w:pPr>
              <w:spacing w:after="40"/>
              <w:jc w:val="left"/>
            </w:pPr>
            <w:r>
              <w:rPr>
                <w:rFonts w:ascii="Arial" w:hAnsi="Arial"/>
                <w:b/>
                <w:color w:val="FFFFFF"/>
                <w:sz w:val="19"/>
              </w:rPr>
              <w:t>Visual Quality &amp; Durability</w:t>
            </w:r>
          </w:p>
        </w:tc>
      </w:tr>
      <w:tr>
        <w:tc>
          <w:tcPr>
            <w:tcW w:type="dxa" w:w="2160"/>
            <w:shd w:fill="FFFFFF"/>
          </w:tcPr>
          <w:p>
            <w:pPr>
              <w:spacing w:after="40"/>
            </w:pPr>
            <w:r>
              <w:rPr>
                <w:sz w:val="18"/>
              </w:rPr>
              <w:t>Indigo Blue</w:t>
            </w:r>
          </w:p>
        </w:tc>
        <w:tc>
          <w:tcPr>
            <w:tcW w:type="dxa" w:w="2160"/>
            <w:shd w:fill="FFFFFF"/>
          </w:tcPr>
          <w:p>
            <w:pPr>
              <w:spacing w:after="40"/>
            </w:pPr>
            <w:r>
              <w:rPr>
                <w:sz w:val="18"/>
              </w:rPr>
              <w:t>Neel</w:t>
            </w:r>
          </w:p>
        </w:tc>
        <w:tc>
          <w:tcPr>
            <w:tcW w:type="dxa" w:w="3600"/>
            <w:shd w:fill="FFFFFF"/>
          </w:tcPr>
          <w:p>
            <w:pPr>
              <w:spacing w:after="40"/>
            </w:pPr>
            <w:r>
              <w:rPr>
                <w:sz w:val="18"/>
              </w:rPr>
              <w:t>Organic extract from Indigofera tinctoria plants.</w:t>
            </w:r>
          </w:p>
        </w:tc>
        <w:tc>
          <w:tcPr>
            <w:tcW w:type="dxa" w:w="3600"/>
            <w:shd w:fill="FFFFFF"/>
          </w:tcPr>
          <w:p>
            <w:pPr>
              <w:spacing w:after="40"/>
            </w:pPr>
            <w:r>
              <w:rPr>
                <w:sz w:val="18"/>
              </w:rPr>
              <w:t>Vibrant deep blue; used extensively for sky and royal robes.</w:t>
            </w:r>
          </w:p>
        </w:tc>
      </w:tr>
      <w:tr>
        <w:tc>
          <w:tcPr>
            <w:tcW w:type="dxa" w:w="2160"/>
            <w:shd w:fill="F1F5F9"/>
          </w:tcPr>
          <w:p>
            <w:pPr>
              <w:spacing w:after="40"/>
            </w:pPr>
            <w:r>
              <w:rPr>
                <w:sz w:val="18"/>
              </w:rPr>
              <w:t>Red Ochre</w:t>
            </w:r>
          </w:p>
        </w:tc>
        <w:tc>
          <w:tcPr>
            <w:tcW w:type="dxa" w:w="2160"/>
            <w:shd w:fill="F1F5F9"/>
          </w:tcPr>
          <w:p>
            <w:pPr>
              <w:spacing w:after="40"/>
            </w:pPr>
            <w:r>
              <w:rPr>
                <w:sz w:val="18"/>
              </w:rPr>
              <w:t>Geru</w:t>
            </w:r>
          </w:p>
        </w:tc>
        <w:tc>
          <w:tcPr>
            <w:tcW w:type="dxa" w:w="3600"/>
            <w:shd w:fill="F1F5F9"/>
          </w:tcPr>
          <w:p>
            <w:pPr>
              <w:spacing w:after="40"/>
            </w:pPr>
            <w:r>
              <w:rPr>
                <w:sz w:val="18"/>
              </w:rPr>
              <w:t>Natural iron oxide clay mined from Rajasthan hills.</w:t>
            </w:r>
          </w:p>
        </w:tc>
        <w:tc>
          <w:tcPr>
            <w:tcW w:type="dxa" w:w="3600"/>
            <w:shd w:fill="F1F5F9"/>
          </w:tcPr>
          <w:p>
            <w:pPr>
              <w:spacing w:after="40"/>
            </w:pPr>
            <w:r>
              <w:rPr>
                <w:sz w:val="18"/>
              </w:rPr>
              <w:t>Warm terracotta red; highly permanent base color.</w:t>
            </w:r>
          </w:p>
        </w:tc>
      </w:tr>
      <w:tr>
        <w:tc>
          <w:tcPr>
            <w:tcW w:type="dxa" w:w="2160"/>
            <w:shd w:fill="FFFFFF"/>
          </w:tcPr>
          <w:p>
            <w:pPr>
              <w:spacing w:after="40"/>
            </w:pPr>
            <w:r>
              <w:rPr>
                <w:sz w:val="18"/>
              </w:rPr>
              <w:t>Yellow Ochre</w:t>
            </w:r>
          </w:p>
        </w:tc>
        <w:tc>
          <w:tcPr>
            <w:tcW w:type="dxa" w:w="2160"/>
            <w:shd w:fill="FFFFFF"/>
          </w:tcPr>
          <w:p>
            <w:pPr>
              <w:spacing w:after="40"/>
            </w:pPr>
            <w:r>
              <w:rPr>
                <w:sz w:val="18"/>
              </w:rPr>
              <w:t>Peli Mitti</w:t>
            </w:r>
          </w:p>
        </w:tc>
        <w:tc>
          <w:tcPr>
            <w:tcW w:type="dxa" w:w="3600"/>
            <w:shd w:fill="FFFFFF"/>
          </w:tcPr>
          <w:p>
            <w:pPr>
              <w:spacing w:after="40"/>
            </w:pPr>
            <w:r>
              <w:rPr>
                <w:sz w:val="18"/>
              </w:rPr>
              <w:t>Natural hydrated iron oxide earths.</w:t>
            </w:r>
          </w:p>
        </w:tc>
        <w:tc>
          <w:tcPr>
            <w:tcW w:type="dxa" w:w="3600"/>
            <w:shd w:fill="FFFFFF"/>
          </w:tcPr>
          <w:p>
            <w:pPr>
              <w:spacing w:after="40"/>
            </w:pPr>
            <w:r>
              <w:rPr>
                <w:sz w:val="18"/>
              </w:rPr>
              <w:t>Golden yellow; used for divine nimbuses and ornaments.</w:t>
            </w:r>
          </w:p>
        </w:tc>
      </w:tr>
      <w:tr>
        <w:tc>
          <w:tcPr>
            <w:tcW w:type="dxa" w:w="2160"/>
            <w:shd w:fill="F1F5F9"/>
          </w:tcPr>
          <w:p>
            <w:pPr>
              <w:spacing w:after="40"/>
            </w:pPr>
            <w:r>
              <w:rPr>
                <w:sz w:val="18"/>
              </w:rPr>
              <w:t>Carbon Black</w:t>
            </w:r>
          </w:p>
        </w:tc>
        <w:tc>
          <w:tcPr>
            <w:tcW w:type="dxa" w:w="2160"/>
            <w:shd w:fill="F1F5F9"/>
          </w:tcPr>
          <w:p>
            <w:pPr>
              <w:spacing w:after="40"/>
            </w:pPr>
            <w:r>
              <w:rPr>
                <w:sz w:val="18"/>
              </w:rPr>
              <w:t>Kajal</w:t>
            </w:r>
          </w:p>
        </w:tc>
        <w:tc>
          <w:tcPr>
            <w:tcW w:type="dxa" w:w="3600"/>
            <w:shd w:fill="F1F5F9"/>
          </w:tcPr>
          <w:p>
            <w:pPr>
              <w:spacing w:after="40"/>
            </w:pPr>
            <w:r>
              <w:rPr>
                <w:sz w:val="18"/>
              </w:rPr>
              <w:t>Soot collected from oil lamps burning mustard oil.</w:t>
            </w:r>
          </w:p>
        </w:tc>
        <w:tc>
          <w:tcPr>
            <w:tcW w:type="dxa" w:w="3600"/>
            <w:shd w:fill="F1F5F9"/>
          </w:tcPr>
          <w:p>
            <w:pPr>
              <w:spacing w:after="40"/>
            </w:pPr>
            <w:r>
              <w:rPr>
                <w:sz w:val="18"/>
              </w:rPr>
              <w:t>Jet black; used for outlines and fine detail work.</w:t>
            </w:r>
          </w:p>
        </w:tc>
      </w:tr>
      <w:tr>
        <w:tc>
          <w:tcPr>
            <w:tcW w:type="dxa" w:w="2160"/>
            <w:shd w:fill="FFFFFF"/>
          </w:tcPr>
          <w:p>
            <w:pPr>
              <w:spacing w:after="40"/>
            </w:pPr>
            <w:r>
              <w:rPr>
                <w:sz w:val="18"/>
              </w:rPr>
              <w:t>Lime White</w:t>
            </w:r>
          </w:p>
        </w:tc>
        <w:tc>
          <w:tcPr>
            <w:tcW w:type="dxa" w:w="2160"/>
            <w:shd w:fill="FFFFFF"/>
          </w:tcPr>
          <w:p>
            <w:pPr>
              <w:spacing w:after="40"/>
            </w:pPr>
            <w:r>
              <w:rPr>
                <w:sz w:val="18"/>
              </w:rPr>
              <w:t>Safeda</w:t>
            </w:r>
          </w:p>
        </w:tc>
        <w:tc>
          <w:tcPr>
            <w:tcW w:type="dxa" w:w="3600"/>
            <w:shd w:fill="FFFFFF"/>
          </w:tcPr>
          <w:p>
            <w:pPr>
              <w:spacing w:after="40"/>
            </w:pPr>
            <w:r>
              <w:rPr>
                <w:sz w:val="18"/>
              </w:rPr>
              <w:t>Purified slaked lime or ground seashells.</w:t>
            </w:r>
          </w:p>
        </w:tc>
        <w:tc>
          <w:tcPr>
            <w:tcW w:type="dxa" w:w="3600"/>
            <w:shd w:fill="FFFFFF"/>
          </w:tcPr>
          <w:p>
            <w:pPr>
              <w:spacing w:after="40"/>
            </w:pPr>
            <w:r>
              <w:rPr>
                <w:sz w:val="18"/>
              </w:rPr>
              <w:t>Pure opaque white; used for highlighting and backgrounds.</w:t>
            </w:r>
          </w:p>
        </w:tc>
      </w:tr>
      <w:tr>
        <w:tc>
          <w:tcPr>
            <w:tcW w:type="dxa" w:w="2160"/>
            <w:shd w:fill="F1F5F9"/>
          </w:tcPr>
          <w:p>
            <w:pPr>
              <w:spacing w:after="40"/>
            </w:pPr>
            <w:r>
              <w:rPr>
                <w:sz w:val="18"/>
              </w:rPr>
              <w:t>Cinnabar Red</w:t>
            </w:r>
          </w:p>
        </w:tc>
        <w:tc>
          <w:tcPr>
            <w:tcW w:type="dxa" w:w="2160"/>
            <w:shd w:fill="F1F5F9"/>
          </w:tcPr>
          <w:p>
            <w:pPr>
              <w:spacing w:after="40"/>
            </w:pPr>
            <w:r>
              <w:rPr>
                <w:sz w:val="18"/>
              </w:rPr>
              <w:t>Hinglu</w:t>
            </w:r>
          </w:p>
        </w:tc>
        <w:tc>
          <w:tcPr>
            <w:tcW w:type="dxa" w:w="3600"/>
            <w:shd w:fill="F1F5F9"/>
          </w:tcPr>
          <w:p>
            <w:pPr>
              <w:spacing w:after="40"/>
            </w:pPr>
            <w:r>
              <w:rPr>
                <w:sz w:val="18"/>
              </w:rPr>
              <w:t>Mercuric sulfide mineral.</w:t>
            </w:r>
          </w:p>
        </w:tc>
        <w:tc>
          <w:tcPr>
            <w:tcW w:type="dxa" w:w="3600"/>
            <w:shd w:fill="F1F5F9"/>
          </w:tcPr>
          <w:p>
            <w:pPr>
              <w:spacing w:after="40"/>
            </w:pPr>
            <w:r>
              <w:rPr>
                <w:sz w:val="18"/>
              </w:rPr>
              <w:t>Brilliant scarlet red; reserved for deities and royal robes.</w:t>
            </w:r>
          </w:p>
        </w:tc>
      </w:tr>
      <w:tr>
        <w:tc>
          <w:tcPr>
            <w:tcW w:type="dxa" w:w="2160"/>
            <w:shd w:fill="FFFFFF"/>
          </w:tcPr>
          <w:p>
            <w:pPr>
              <w:spacing w:after="40"/>
            </w:pPr>
            <w:r>
              <w:rPr>
                <w:sz w:val="18"/>
              </w:rPr>
              <w:t>Lapis Lazuli</w:t>
            </w:r>
          </w:p>
        </w:tc>
        <w:tc>
          <w:tcPr>
            <w:tcW w:type="dxa" w:w="2160"/>
            <w:shd w:fill="FFFFFF"/>
          </w:tcPr>
          <w:p>
            <w:pPr>
              <w:spacing w:after="40"/>
            </w:pPr>
            <w:r>
              <w:rPr>
                <w:sz w:val="18"/>
              </w:rPr>
              <w:t>Lajvard</w:t>
            </w:r>
          </w:p>
        </w:tc>
        <w:tc>
          <w:tcPr>
            <w:tcW w:type="dxa" w:w="3600"/>
            <w:shd w:fill="FFFFFF"/>
          </w:tcPr>
          <w:p>
            <w:pPr>
              <w:spacing w:after="40"/>
            </w:pPr>
            <w:r>
              <w:rPr>
                <w:sz w:val="18"/>
              </w:rPr>
              <w:t>Imported crushed semi-precious stone.</w:t>
            </w:r>
          </w:p>
        </w:tc>
        <w:tc>
          <w:tcPr>
            <w:tcW w:type="dxa" w:w="3600"/>
            <w:shd w:fill="FFFFFF"/>
          </w:tcPr>
          <w:p>
            <w:pPr>
              <w:spacing w:after="40"/>
            </w:pPr>
            <w:r>
              <w:rPr>
                <w:sz w:val="18"/>
              </w:rPr>
              <w:t>Deep ultramarine blue; highly expensive, found in rich havelis.</w:t>
            </w:r>
          </w:p>
        </w:tc>
      </w:tr>
      <w:tr>
        <w:tc>
          <w:tcPr>
            <w:tcW w:type="dxa" w:w="2160"/>
            <w:shd w:fill="F1F5F9"/>
          </w:tcPr>
          <w:p>
            <w:pPr>
              <w:spacing w:after="40"/>
            </w:pPr>
            <w:r>
              <w:rPr>
                <w:sz w:val="18"/>
              </w:rPr>
              <w:t>Gold Leaf</w:t>
            </w:r>
          </w:p>
        </w:tc>
        <w:tc>
          <w:tcPr>
            <w:tcW w:type="dxa" w:w="2160"/>
            <w:shd w:fill="F1F5F9"/>
          </w:tcPr>
          <w:p>
            <w:pPr>
              <w:spacing w:after="40"/>
            </w:pPr>
            <w:r>
              <w:rPr>
                <w:sz w:val="18"/>
              </w:rPr>
              <w:t>Sone ka Wark</w:t>
            </w:r>
          </w:p>
        </w:tc>
        <w:tc>
          <w:tcPr>
            <w:tcW w:type="dxa" w:w="3600"/>
            <w:shd w:fill="F1F5F9"/>
          </w:tcPr>
          <w:p>
            <w:pPr>
              <w:spacing w:after="40"/>
            </w:pPr>
            <w:r>
              <w:rPr>
                <w:sz w:val="18"/>
              </w:rPr>
              <w:t>Beaten 24-carat gold foil applied with gum.</w:t>
            </w:r>
          </w:p>
        </w:tc>
        <w:tc>
          <w:tcPr>
            <w:tcW w:type="dxa" w:w="3600"/>
            <w:shd w:fill="F1F5F9"/>
          </w:tcPr>
          <w:p>
            <w:pPr>
              <w:spacing w:after="40"/>
            </w:pPr>
            <w:r>
              <w:rPr>
                <w:sz w:val="18"/>
              </w:rPr>
              <w:t>Used for jewel-like embellishment (e.g., Mahansar Gold Haveli).</w:t>
            </w:r>
          </w:p>
        </w:tc>
      </w:tr>
    </w:tbl>
    <w:p>
      <w:pPr>
        <w:spacing w:after="120"/>
      </w:pPr>
    </w:p>
    <w:p>
      <w:pPr>
        <w:spacing w:before="280" w:after="120"/>
      </w:pPr>
      <w:r>
        <w:rPr>
          <w:rFonts w:ascii="Arial" w:hAnsi="Arial"/>
          <w:b/>
          <w:color w:val="8B0000"/>
          <w:sz w:val="30"/>
        </w:rPr>
        <w:t>3. Iconographic Themes &amp; The Colonial Transition</w:t>
      </w:r>
    </w:p>
    <w:p>
      <w:pPr>
        <w:spacing w:after="120" w:line="276" w:lineRule="auto"/>
      </w:pPr>
      <w:r>
        <w:rPr>
          <w:i w:val="0"/>
        </w:rPr>
        <w:t>The themes depicted on haveli walls evolved dynamically over three distinct stylistic periods:</w:t>
      </w:r>
    </w:p>
    <w:p>
      <w:pPr>
        <w:pStyle w:val="ListBullet"/>
        <w:spacing w:after="80" w:line="276" w:lineRule="auto"/>
      </w:pPr>
      <w:r>
        <w:rPr>
          <w:b/>
          <w:color w:val="1A365D"/>
        </w:rPr>
        <w:t xml:space="preserve">Early Period (1830–1870 CE): </w:t>
      </w:r>
      <w:r>
        <w:t>Deeply devotional scenes from Hindu epics—Krishna Leela (Rasa-lila, stealing butter, lifting Govardhan), Ramayana, Shiva-Parvati, and Dashavatara.</w:t>
      </w:r>
    </w:p>
    <w:p>
      <w:pPr>
        <w:pStyle w:val="ListBullet"/>
        <w:spacing w:after="80" w:line="276" w:lineRule="auto"/>
      </w:pPr>
      <w:r>
        <w:rPr>
          <w:b/>
          <w:color w:val="1A365D"/>
        </w:rPr>
        <w:t xml:space="preserve">Middle Period (1870–1900 CE): </w:t>
      </w:r>
      <w:r>
        <w:t>Depictions of Rajput courtly life, royal processions, hunting expeditions, folk romances (Dhola-Maru, Sohni-Mahiwal), and local historical battles.</w:t>
      </w:r>
    </w:p>
    <w:p>
      <w:pPr>
        <w:pStyle w:val="ListBullet"/>
        <w:spacing w:after="80" w:line="276" w:lineRule="auto"/>
      </w:pPr>
      <w:r>
        <w:rPr>
          <w:b/>
          <w:color w:val="1A365D"/>
        </w:rPr>
        <w:t xml:space="preserve">Late / Colonial Period (1900–1930 CE): </w:t>
      </w:r>
      <w:r>
        <w:t>Fascinating integration of Western technological marvels introduced by British colonial rule. Frescoes vividly depict steam locomotives, motorcars, bicycles, Wright brothers biplanes, gramophones, telephones, and British officers wearing top hats and drinking tea.</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[EXPLANATION OF MODERN SUBJECTS IN TRADITIONAL ART]</w:t>
              <w:br/>
            </w:r>
            <w:r>
              <w:rPr>
                <w:sz w:val="19"/>
              </w:rPr>
              <w:t>Why Colonial Technology in Desert Frescoes? Wealthy Marwari merchants living in colonial port cities like Kolkata witnessed modern inventions firsthand. Upon returning to Shekhawati, they commissioned local artisans to paint these technological wonders as symbols of global progress, wealth, and modernity [Source: SHK-S004].</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