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A365D"/>
          <w:sz w:val="18"/>
        </w:rPr>
        <w:t>SHEKHAWATI CULTURAL HERITAGE KNOWLEDGE BASE</w:t>
      </w:r>
    </w:p>
    <w:p>
      <w:pPr>
        <w:spacing w:after="280"/>
      </w:pPr>
      <w:r>
        <w:rPr>
          <w:rFonts w:ascii="Arial" w:hAnsi="Arial"/>
          <w:b/>
          <w:color w:val="8B0000"/>
          <w:sz w:val="44"/>
        </w:rPr>
        <w:t>09. Forts and Heritage Defensive Buildings</w:t>
      </w:r>
    </w:p>
    <w:p>
      <w:pPr>
        <w:spacing w:before="280" w:after="120"/>
      </w:pPr>
      <w:r>
        <w:rPr>
          <w:rFonts w:ascii="Arial" w:hAnsi="Arial"/>
          <w:b/>
          <w:color w:val="8B0000"/>
          <w:sz w:val="30"/>
        </w:rPr>
        <w:t>1. Defensive Architecture of Shekhawat Fortresses</w:t>
      </w:r>
    </w:p>
    <w:p>
      <w:pPr>
        <w:spacing w:after="120" w:line="276" w:lineRule="auto"/>
      </w:pPr>
      <w:r>
        <w:rPr>
          <w:i w:val="0"/>
        </w:rPr>
        <w:t>The forts (Garhs and Durgs) of Shekhawati were constructed between the 15th and 18th centuries by Shekhawat Rajput Thakurs to secure trade routes, collect customs tolls, and protect thikana boundaries against rival clans, Muslim Nawabs, and Maratha raiders [Source: SHK-S002].</w:t>
      </w:r>
    </w:p>
    <w:p>
      <w:pPr>
        <w:spacing w:before="280" w:after="120"/>
      </w:pPr>
      <w:r>
        <w:rPr>
          <w:rFonts w:ascii="Arial" w:hAnsi="Arial"/>
          <w:b/>
          <w:color w:val="8B0000"/>
          <w:sz w:val="30"/>
        </w:rPr>
        <w:t>2. Major Forts Inventory</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1E3A8A"/>
          </w:tcPr>
          <w:p>
            <w:pPr>
              <w:spacing w:after="40"/>
              <w:jc w:val="left"/>
            </w:pPr>
            <w:r>
              <w:rPr>
                <w:rFonts w:ascii="Arial" w:hAnsi="Arial"/>
                <w:b/>
                <w:color w:val="FFFFFF"/>
                <w:sz w:val="19"/>
              </w:rPr>
              <w:t>Fort Name</w:t>
            </w:r>
          </w:p>
        </w:tc>
        <w:tc>
          <w:tcPr>
            <w:tcW w:type="dxa" w:w="1728"/>
            <w:shd w:fill="1E3A8A"/>
          </w:tcPr>
          <w:p>
            <w:pPr>
              <w:spacing w:after="40"/>
              <w:jc w:val="left"/>
            </w:pPr>
            <w:r>
              <w:rPr>
                <w:rFonts w:ascii="Arial" w:hAnsi="Arial"/>
                <w:b/>
                <w:color w:val="FFFFFF"/>
                <w:sz w:val="19"/>
              </w:rPr>
              <w:t>Location</w:t>
            </w:r>
          </w:p>
        </w:tc>
        <w:tc>
          <w:tcPr>
            <w:tcW w:type="dxa" w:w="2592"/>
            <w:shd w:fill="1E3A8A"/>
          </w:tcPr>
          <w:p>
            <w:pPr>
              <w:spacing w:after="40"/>
              <w:jc w:val="left"/>
            </w:pPr>
            <w:r>
              <w:rPr>
                <w:rFonts w:ascii="Arial" w:hAnsi="Arial"/>
                <w:b/>
                <w:color w:val="FFFFFF"/>
                <w:sz w:val="19"/>
              </w:rPr>
              <w:t>Founder &amp; Date</w:t>
            </w:r>
          </w:p>
        </w:tc>
        <w:tc>
          <w:tcPr>
            <w:tcW w:type="dxa" w:w="3600"/>
            <w:shd w:fill="1E3A8A"/>
          </w:tcPr>
          <w:p>
            <w:pPr>
              <w:spacing w:after="40"/>
              <w:jc w:val="left"/>
            </w:pPr>
            <w:r>
              <w:rPr>
                <w:rFonts w:ascii="Arial" w:hAnsi="Arial"/>
                <w:b/>
                <w:color w:val="FFFFFF"/>
                <w:sz w:val="19"/>
              </w:rPr>
              <w:t>Architectural Features</w:t>
            </w:r>
          </w:p>
        </w:tc>
        <w:tc>
          <w:tcPr>
            <w:tcW w:type="dxa" w:w="2592"/>
            <w:shd w:fill="1E3A8A"/>
          </w:tcPr>
          <w:p>
            <w:pPr>
              <w:spacing w:after="40"/>
              <w:jc w:val="left"/>
            </w:pPr>
            <w:r>
              <w:rPr>
                <w:rFonts w:ascii="Arial" w:hAnsi="Arial"/>
                <w:b/>
                <w:color w:val="FFFFFF"/>
                <w:sz w:val="19"/>
              </w:rPr>
              <w:t>Current Status</w:t>
            </w:r>
          </w:p>
        </w:tc>
      </w:tr>
      <w:tr>
        <w:tc>
          <w:tcPr>
            <w:tcW w:type="dxa" w:w="2160"/>
            <w:shd w:fill="FFFFFF"/>
          </w:tcPr>
          <w:p>
            <w:pPr>
              <w:spacing w:after="40"/>
            </w:pPr>
            <w:r>
              <w:rPr>
                <w:sz w:val="18"/>
              </w:rPr>
              <w:t>Castle Mandawa</w:t>
            </w:r>
          </w:p>
        </w:tc>
        <w:tc>
          <w:tcPr>
            <w:tcW w:type="dxa" w:w="1728"/>
            <w:shd w:fill="FFFFFF"/>
          </w:tcPr>
          <w:p>
            <w:pPr>
              <w:spacing w:after="40"/>
            </w:pPr>
            <w:r>
              <w:rPr>
                <w:sz w:val="18"/>
              </w:rPr>
              <w:t>Mandawa</w:t>
            </w:r>
          </w:p>
        </w:tc>
        <w:tc>
          <w:tcPr>
            <w:tcW w:type="dxa" w:w="2592"/>
            <w:shd w:fill="FFFFFF"/>
          </w:tcPr>
          <w:p>
            <w:pPr>
              <w:spacing w:after="40"/>
            </w:pPr>
            <w:r>
              <w:rPr>
                <w:sz w:val="18"/>
              </w:rPr>
              <w:t>Thakur Nawal Singh (1755)</w:t>
            </w:r>
          </w:p>
        </w:tc>
        <w:tc>
          <w:tcPr>
            <w:tcW w:type="dxa" w:w="3600"/>
            <w:shd w:fill="FFFFFF"/>
          </w:tcPr>
          <w:p>
            <w:pPr>
              <w:spacing w:after="40"/>
            </w:pPr>
            <w:r>
              <w:rPr>
                <w:sz w:val="18"/>
              </w:rPr>
              <w:t>High ramparts, frescoed gateway, Zenana court.</w:t>
            </w:r>
          </w:p>
        </w:tc>
        <w:tc>
          <w:tcPr>
            <w:tcW w:type="dxa" w:w="2592"/>
            <w:shd w:fill="FFFFFF"/>
          </w:tcPr>
          <w:p>
            <w:pPr>
              <w:spacing w:after="40"/>
            </w:pPr>
            <w:r>
              <w:rPr>
                <w:sz w:val="18"/>
              </w:rPr>
              <w:t>Operated as a luxury heritage hotel.</w:t>
            </w:r>
          </w:p>
        </w:tc>
      </w:tr>
      <w:tr>
        <w:tc>
          <w:tcPr>
            <w:tcW w:type="dxa" w:w="2160"/>
            <w:shd w:fill="F1F5F9"/>
          </w:tcPr>
          <w:p>
            <w:pPr>
              <w:spacing w:after="40"/>
            </w:pPr>
            <w:r>
              <w:rPr>
                <w:sz w:val="18"/>
              </w:rPr>
              <w:t>Dundlod Fort</w:t>
            </w:r>
          </w:p>
        </w:tc>
        <w:tc>
          <w:tcPr>
            <w:tcW w:type="dxa" w:w="1728"/>
            <w:shd w:fill="F1F5F9"/>
          </w:tcPr>
          <w:p>
            <w:pPr>
              <w:spacing w:after="40"/>
            </w:pPr>
            <w:r>
              <w:rPr>
                <w:sz w:val="18"/>
              </w:rPr>
              <w:t>Dundlod</w:t>
            </w:r>
          </w:p>
        </w:tc>
        <w:tc>
          <w:tcPr>
            <w:tcW w:type="dxa" w:w="2592"/>
            <w:shd w:fill="F1F5F9"/>
          </w:tcPr>
          <w:p>
            <w:pPr>
              <w:spacing w:after="40"/>
            </w:pPr>
            <w:r>
              <w:rPr>
                <w:sz w:val="18"/>
              </w:rPr>
              <w:t>Thakur Keshari Singh (1750)</w:t>
            </w:r>
          </w:p>
        </w:tc>
        <w:tc>
          <w:tcPr>
            <w:tcW w:type="dxa" w:w="3600"/>
            <w:shd w:fill="F1F5F9"/>
          </w:tcPr>
          <w:p>
            <w:pPr>
              <w:spacing w:after="40"/>
            </w:pPr>
            <w:r>
              <w:rPr>
                <w:sz w:val="18"/>
              </w:rPr>
              <w:t>Diwan-i-Khas with stained glass, defensive moat.</w:t>
            </w:r>
          </w:p>
        </w:tc>
        <w:tc>
          <w:tcPr>
            <w:tcW w:type="dxa" w:w="2592"/>
            <w:shd w:fill="F1F5F9"/>
          </w:tcPr>
          <w:p>
            <w:pPr>
              <w:spacing w:after="40"/>
            </w:pPr>
            <w:r>
              <w:rPr>
                <w:sz w:val="18"/>
              </w:rPr>
              <w:t>Heritage hotel &amp; Marwari horse center.</w:t>
            </w:r>
          </w:p>
        </w:tc>
      </w:tr>
      <w:tr>
        <w:tc>
          <w:tcPr>
            <w:tcW w:type="dxa" w:w="2160"/>
            <w:shd w:fill="FFFFFF"/>
          </w:tcPr>
          <w:p>
            <w:pPr>
              <w:spacing w:after="40"/>
            </w:pPr>
            <w:r>
              <w:rPr>
                <w:sz w:val="18"/>
              </w:rPr>
              <w:t>Bhopalgarh Fort</w:t>
            </w:r>
          </w:p>
        </w:tc>
        <w:tc>
          <w:tcPr>
            <w:tcW w:type="dxa" w:w="1728"/>
            <w:shd w:fill="FFFFFF"/>
          </w:tcPr>
          <w:p>
            <w:pPr>
              <w:spacing w:after="40"/>
            </w:pPr>
            <w:r>
              <w:rPr>
                <w:sz w:val="18"/>
              </w:rPr>
              <w:t>Khetri</w:t>
            </w:r>
          </w:p>
        </w:tc>
        <w:tc>
          <w:tcPr>
            <w:tcW w:type="dxa" w:w="2592"/>
            <w:shd w:fill="FFFFFF"/>
          </w:tcPr>
          <w:p>
            <w:pPr>
              <w:spacing w:after="40"/>
            </w:pPr>
            <w:r>
              <w:rPr>
                <w:sz w:val="18"/>
              </w:rPr>
              <w:t>Thakur Bhopal Singh (1770)</w:t>
            </w:r>
          </w:p>
        </w:tc>
        <w:tc>
          <w:tcPr>
            <w:tcW w:type="dxa" w:w="3600"/>
            <w:shd w:fill="FFFFFF"/>
          </w:tcPr>
          <w:p>
            <w:pPr>
              <w:spacing w:after="40"/>
            </w:pPr>
            <w:r>
              <w:rPr>
                <w:sz w:val="18"/>
              </w:rPr>
              <w:t>Perched on hill top, defensive battlements.</w:t>
            </w:r>
          </w:p>
        </w:tc>
        <w:tc>
          <w:tcPr>
            <w:tcW w:type="dxa" w:w="2592"/>
            <w:shd w:fill="FFFFFF"/>
          </w:tcPr>
          <w:p>
            <w:pPr>
              <w:spacing w:after="40"/>
            </w:pPr>
            <w:r>
              <w:rPr>
                <w:sz w:val="18"/>
              </w:rPr>
              <w:t>Historical ruins undergoing restoration.</w:t>
            </w:r>
          </w:p>
        </w:tc>
      </w:tr>
      <w:tr>
        <w:tc>
          <w:tcPr>
            <w:tcW w:type="dxa" w:w="2160"/>
            <w:shd w:fill="F1F5F9"/>
          </w:tcPr>
          <w:p>
            <w:pPr>
              <w:spacing w:after="40"/>
            </w:pPr>
            <w:r>
              <w:rPr>
                <w:sz w:val="18"/>
              </w:rPr>
              <w:t>Lachhmangarh Fort</w:t>
            </w:r>
          </w:p>
        </w:tc>
        <w:tc>
          <w:tcPr>
            <w:tcW w:type="dxa" w:w="1728"/>
            <w:shd w:fill="F1F5F9"/>
          </w:tcPr>
          <w:p>
            <w:pPr>
              <w:spacing w:after="40"/>
            </w:pPr>
            <w:r>
              <w:rPr>
                <w:sz w:val="18"/>
              </w:rPr>
              <w:t>Lachhmangarh</w:t>
            </w:r>
          </w:p>
        </w:tc>
        <w:tc>
          <w:tcPr>
            <w:tcW w:type="dxa" w:w="2592"/>
            <w:shd w:fill="F1F5F9"/>
          </w:tcPr>
          <w:p>
            <w:pPr>
              <w:spacing w:after="40"/>
            </w:pPr>
            <w:r>
              <w:rPr>
                <w:sz w:val="18"/>
              </w:rPr>
              <w:t>Rao Raja Laxman Singh (1805)</w:t>
            </w:r>
          </w:p>
        </w:tc>
        <w:tc>
          <w:tcPr>
            <w:tcW w:type="dxa" w:w="3600"/>
            <w:shd w:fill="F1F5F9"/>
          </w:tcPr>
          <w:p>
            <w:pPr>
              <w:spacing w:after="40"/>
            </w:pPr>
            <w:r>
              <w:rPr>
                <w:sz w:val="18"/>
              </w:rPr>
              <w:t>Built on singular massive rock outcrop.</w:t>
            </w:r>
          </w:p>
        </w:tc>
        <w:tc>
          <w:tcPr>
            <w:tcW w:type="dxa" w:w="2592"/>
            <w:shd w:fill="F1F5F9"/>
          </w:tcPr>
          <w:p>
            <w:pPr>
              <w:spacing w:after="40"/>
            </w:pPr>
            <w:r>
              <w:rPr>
                <w:sz w:val="18"/>
              </w:rPr>
              <w:t>Privately owned; iconic skyline landmark.</w:t>
            </w:r>
          </w:p>
        </w:tc>
      </w:tr>
      <w:tr>
        <w:tc>
          <w:tcPr>
            <w:tcW w:type="dxa" w:w="2160"/>
            <w:shd w:fill="FFFFFF"/>
          </w:tcPr>
          <w:p>
            <w:pPr>
              <w:spacing w:after="40"/>
            </w:pPr>
            <w:r>
              <w:rPr>
                <w:sz w:val="18"/>
              </w:rPr>
              <w:t>Surajgarh Fort</w:t>
            </w:r>
          </w:p>
        </w:tc>
        <w:tc>
          <w:tcPr>
            <w:tcW w:type="dxa" w:w="1728"/>
            <w:shd w:fill="FFFFFF"/>
          </w:tcPr>
          <w:p>
            <w:pPr>
              <w:spacing w:after="40"/>
            </w:pPr>
            <w:r>
              <w:rPr>
                <w:sz w:val="18"/>
              </w:rPr>
              <w:t>Surajgarh</w:t>
            </w:r>
          </w:p>
        </w:tc>
        <w:tc>
          <w:tcPr>
            <w:tcW w:type="dxa" w:w="2592"/>
            <w:shd w:fill="FFFFFF"/>
          </w:tcPr>
          <w:p>
            <w:pPr>
              <w:spacing w:after="40"/>
            </w:pPr>
            <w:r>
              <w:rPr>
                <w:sz w:val="18"/>
              </w:rPr>
              <w:t>Thakur Suraj Mal (1780)</w:t>
            </w:r>
          </w:p>
        </w:tc>
        <w:tc>
          <w:tcPr>
            <w:tcW w:type="dxa" w:w="3600"/>
            <w:shd w:fill="FFFFFF"/>
          </w:tcPr>
          <w:p>
            <w:pPr>
              <w:spacing w:after="40"/>
            </w:pPr>
            <w:r>
              <w:rPr>
                <w:sz w:val="18"/>
              </w:rPr>
              <w:t>Massive bastions, 4-acre fortified compound.</w:t>
            </w:r>
          </w:p>
        </w:tc>
        <w:tc>
          <w:tcPr>
            <w:tcW w:type="dxa" w:w="2592"/>
            <w:shd w:fill="FFFFFF"/>
          </w:tcPr>
          <w:p>
            <w:pPr>
              <w:spacing w:after="40"/>
            </w:pPr>
            <w:r>
              <w:rPr>
                <w:sz w:val="18"/>
              </w:rPr>
              <w:t>Restored heritage hotel.</w:t>
            </w:r>
          </w:p>
        </w:tc>
      </w:tr>
      <w:tr>
        <w:tc>
          <w:tcPr>
            <w:tcW w:type="dxa" w:w="2160"/>
            <w:shd w:fill="F1F5F9"/>
          </w:tcPr>
          <w:p>
            <w:pPr>
              <w:spacing w:after="40"/>
            </w:pPr>
            <w:r>
              <w:rPr>
                <w:sz w:val="18"/>
              </w:rPr>
              <w:t>Churu Fort</w:t>
            </w:r>
          </w:p>
        </w:tc>
        <w:tc>
          <w:tcPr>
            <w:tcW w:type="dxa" w:w="1728"/>
            <w:shd w:fill="F1F5F9"/>
          </w:tcPr>
          <w:p>
            <w:pPr>
              <w:spacing w:after="40"/>
            </w:pPr>
            <w:r>
              <w:rPr>
                <w:sz w:val="18"/>
              </w:rPr>
              <w:t>Churu</w:t>
            </w:r>
          </w:p>
        </w:tc>
        <w:tc>
          <w:tcPr>
            <w:tcW w:type="dxa" w:w="2592"/>
            <w:shd w:fill="F1F5F9"/>
          </w:tcPr>
          <w:p>
            <w:pPr>
              <w:spacing w:after="40"/>
            </w:pPr>
            <w:r>
              <w:rPr>
                <w:sz w:val="18"/>
              </w:rPr>
              <w:t>Thakur Kushal Singh (1649)</w:t>
            </w:r>
          </w:p>
        </w:tc>
        <w:tc>
          <w:tcPr>
            <w:tcW w:type="dxa" w:w="3600"/>
            <w:shd w:fill="F1F5F9"/>
          </w:tcPr>
          <w:p>
            <w:pPr>
              <w:spacing w:after="40"/>
            </w:pPr>
            <w:r>
              <w:rPr>
                <w:sz w:val="18"/>
              </w:rPr>
              <w:t>Historic site of the 1814 Silver Cannonball Siege.</w:t>
            </w:r>
          </w:p>
        </w:tc>
        <w:tc>
          <w:tcPr>
            <w:tcW w:type="dxa" w:w="2592"/>
            <w:shd w:fill="F1F5F9"/>
          </w:tcPr>
          <w:p>
            <w:pPr>
              <w:spacing w:after="40"/>
            </w:pPr>
            <w:r>
              <w:rPr>
                <w:sz w:val="18"/>
              </w:rPr>
              <w:t>Municipal heritage monument [SHK-S002].</w:t>
            </w:r>
          </w:p>
        </w:tc>
      </w:tr>
    </w:tbl>
    <w:p>
      <w:pPr>
        <w:spacing w:after="120"/>
      </w:pPr>
    </w:p>
    <w:tbl>
      <w:tblPr>
        <w:tblW w:type="auto" w:w="0"/>
        <w:jc w:val="center"/>
        <w:tblLook w:firstColumn="1" w:firstRow="1" w:lastColumn="0" w:lastRow="0" w:noHBand="0" w:noVBand="1" w:val="04A0"/>
      </w:tblPr>
      <w:tblGrid>
        <w:gridCol w:w="9360"/>
      </w:tblGrid>
      <w:tr>
        <w:tc>
          <w:tcPr>
            <w:tcW w:type="dxa" w:w="9360"/>
            <w:shd w:fill="FEF3C7"/>
            <w:tcBorders>
              <w:top w:val="none"/>
              <w:left w:val="single" w:sz="24" w:space="0" w:color="D97706"/>
              <w:bottom w:val="none"/>
              <w:right w:val="none"/>
            </w:tcBorders>
          </w:tcPr>
          <w:p>
            <w:pPr>
              <w:spacing w:after="80"/>
              <w:ind w:left="144"/>
            </w:pPr>
            <w:r>
              <w:rPr>
                <w:rFonts w:ascii="Arial" w:hAnsi="Arial"/>
                <w:b/>
                <w:color w:val="1E3A8A"/>
                <w:sz w:val="19"/>
              </w:rPr>
              <w:t>[HISTORICAL MILITARY ANECDOTE]</w:t>
              <w:br/>
            </w:r>
            <w:r>
              <w:rPr>
                <w:sz w:val="19"/>
              </w:rPr>
              <w:t>The Silver Cannonballs of Churu Fort (1814 CE): During a military siege by the army of Bikaner, Churu Fort ran out of iron cannonballs. Devoted townspeople donated their personal silver jewelry and household items. Local blacksmiths melted the silver into cannonballs, which were fired at the enemy! Astonished by the bravery of Churu's citizens, the Bikaner army lifted the siege [Source: SHK-S002, Traditional History].</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