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10. Temples and Religious Heritage</w:t>
      </w:r>
    </w:p>
    <w:p>
      <w:pPr>
        <w:spacing w:before="280" w:after="120"/>
      </w:pPr>
      <w:r>
        <w:rPr>
          <w:rFonts w:ascii="Arial" w:hAnsi="Arial"/>
          <w:b/>
          <w:color w:val="8B0000"/>
          <w:sz w:val="30"/>
        </w:rPr>
        <w:t>1. Religious Traditions &amp; Sacred Geography</w:t>
      </w:r>
    </w:p>
    <w:p>
      <w:pPr>
        <w:spacing w:after="120" w:line="276" w:lineRule="auto"/>
      </w:pPr>
      <w:r>
        <w:rPr>
          <w:i w:val="0"/>
        </w:rPr>
        <w:t>Shekhawati exhibits a rich pluralistic religious landscape. While the Shekhawat Rajput rulers were devout worshippers of Shiva, Shakti, and Krishna, the Marwari merchant community patronized Vaishnava Krishna temples and Jain shrines. The region is home to several nationally famous pilgrimage centers: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E3A8A"/>
          </w:tcPr>
          <w:p>
            <w:pPr>
              <w:spacing w:after="40"/>
              <w:jc w:val="left"/>
            </w:pPr>
            <w:r>
              <w:rPr>
                <w:rFonts w:ascii="Arial" w:hAnsi="Arial"/>
                <w:b/>
                <w:color w:val="FFFFFF"/>
                <w:sz w:val="19"/>
              </w:rPr>
              <w:t>Temple Name</w:t>
            </w:r>
          </w:p>
        </w:tc>
        <w:tc>
          <w:tcPr>
            <w:tcW w:type="dxa" w:w="1728"/>
            <w:shd w:fill="1E3A8A"/>
          </w:tcPr>
          <w:p>
            <w:pPr>
              <w:spacing w:after="40"/>
              <w:jc w:val="left"/>
            </w:pPr>
            <w:r>
              <w:rPr>
                <w:rFonts w:ascii="Arial" w:hAnsi="Arial"/>
                <w:b/>
                <w:color w:val="FFFFFF"/>
                <w:sz w:val="19"/>
              </w:rPr>
              <w:t>Location</w:t>
            </w:r>
          </w:p>
        </w:tc>
        <w:tc>
          <w:tcPr>
            <w:tcW w:type="dxa" w:w="2160"/>
            <w:shd w:fill="1E3A8A"/>
          </w:tcPr>
          <w:p>
            <w:pPr>
              <w:spacing w:after="40"/>
              <w:jc w:val="left"/>
            </w:pPr>
            <w:r>
              <w:rPr>
                <w:rFonts w:ascii="Arial" w:hAnsi="Arial"/>
                <w:b/>
                <w:color w:val="FFFFFF"/>
                <w:sz w:val="19"/>
              </w:rPr>
              <w:t>Primary Deity</w:t>
            </w:r>
          </w:p>
        </w:tc>
        <w:tc>
          <w:tcPr>
            <w:tcW w:type="dxa" w:w="4032"/>
            <w:shd w:fill="1E3A8A"/>
          </w:tcPr>
          <w:p>
            <w:pPr>
              <w:spacing w:after="40"/>
              <w:jc w:val="left"/>
            </w:pPr>
            <w:r>
              <w:rPr>
                <w:rFonts w:ascii="Arial" w:hAnsi="Arial"/>
                <w:b/>
                <w:color w:val="FFFFFF"/>
                <w:sz w:val="19"/>
              </w:rPr>
              <w:t>Key Religious &amp; Architectural Highlight</w:t>
            </w:r>
          </w:p>
        </w:tc>
        <w:tc>
          <w:tcPr>
            <w:tcW w:type="dxa" w:w="1728"/>
            <w:shd w:fill="1E3A8A"/>
          </w:tcPr>
          <w:p>
            <w:pPr>
              <w:spacing w:after="40"/>
              <w:jc w:val="left"/>
            </w:pPr>
            <w:r>
              <w:rPr>
                <w:rFonts w:ascii="Arial" w:hAnsi="Arial"/>
                <w:b/>
                <w:color w:val="FFFFFF"/>
                <w:sz w:val="19"/>
              </w:rPr>
              <w:t>Source / Confidence</w:t>
            </w:r>
          </w:p>
        </w:tc>
      </w:tr>
      <w:tr>
        <w:tc>
          <w:tcPr>
            <w:tcW w:type="dxa" w:w="2592"/>
            <w:shd w:fill="FFFFFF"/>
          </w:tcPr>
          <w:p>
            <w:pPr>
              <w:spacing w:after="40"/>
            </w:pPr>
            <w:r>
              <w:rPr>
                <w:sz w:val="18"/>
              </w:rPr>
              <w:t>Salasar Balaji</w:t>
            </w:r>
          </w:p>
        </w:tc>
        <w:tc>
          <w:tcPr>
            <w:tcW w:type="dxa" w:w="1728"/>
            <w:shd w:fill="FFFFFF"/>
          </w:tcPr>
          <w:p>
            <w:pPr>
              <w:spacing w:after="40"/>
            </w:pPr>
            <w:r>
              <w:rPr>
                <w:sz w:val="18"/>
              </w:rPr>
              <w:t>Salasar (Churu)</w:t>
            </w:r>
          </w:p>
        </w:tc>
        <w:tc>
          <w:tcPr>
            <w:tcW w:type="dxa" w:w="2160"/>
            <w:shd w:fill="FFFFFF"/>
          </w:tcPr>
          <w:p>
            <w:pPr>
              <w:spacing w:after="40"/>
            </w:pPr>
            <w:r>
              <w:rPr>
                <w:sz w:val="18"/>
              </w:rPr>
              <w:t>Hanuman Ji</w:t>
            </w:r>
          </w:p>
        </w:tc>
        <w:tc>
          <w:tcPr>
            <w:tcW w:type="dxa" w:w="4032"/>
            <w:shd w:fill="FFFFFF"/>
          </w:tcPr>
          <w:p>
            <w:pPr>
              <w:spacing w:after="40"/>
            </w:pPr>
            <w:r>
              <w:rPr>
                <w:sz w:val="18"/>
              </w:rPr>
              <w:t>Unique icon of Hanuman with a beard &amp; mustache; millions of pilgrims annually.</w:t>
            </w:r>
          </w:p>
        </w:tc>
        <w:tc>
          <w:tcPr>
            <w:tcW w:type="dxa" w:w="1728"/>
            <w:shd w:fill="FFFFFF"/>
          </w:tcPr>
          <w:p>
            <w:pPr>
              <w:spacing w:after="40"/>
            </w:pPr>
            <w:r>
              <w:rPr>
                <w:sz w:val="18"/>
              </w:rPr>
              <w:t>HIGH [SHK-S008]</w:t>
            </w:r>
          </w:p>
        </w:tc>
      </w:tr>
      <w:tr>
        <w:tc>
          <w:tcPr>
            <w:tcW w:type="dxa" w:w="2592"/>
            <w:shd w:fill="F1F5F9"/>
          </w:tcPr>
          <w:p>
            <w:pPr>
              <w:spacing w:after="40"/>
            </w:pPr>
            <w:r>
              <w:rPr>
                <w:sz w:val="18"/>
              </w:rPr>
              <w:t>Khatushyamji Mandir</w:t>
            </w:r>
          </w:p>
        </w:tc>
        <w:tc>
          <w:tcPr>
            <w:tcW w:type="dxa" w:w="1728"/>
            <w:shd w:fill="F1F5F9"/>
          </w:tcPr>
          <w:p>
            <w:pPr>
              <w:spacing w:after="40"/>
            </w:pPr>
            <w:r>
              <w:rPr>
                <w:sz w:val="18"/>
              </w:rPr>
              <w:t>Khatu (Sikar)</w:t>
            </w:r>
          </w:p>
        </w:tc>
        <w:tc>
          <w:tcPr>
            <w:tcW w:type="dxa" w:w="2160"/>
            <w:shd w:fill="F1F5F9"/>
          </w:tcPr>
          <w:p>
            <w:pPr>
              <w:spacing w:after="40"/>
            </w:pPr>
            <w:r>
              <w:rPr>
                <w:sz w:val="18"/>
              </w:rPr>
              <w:t>Barbarik (Krishna)</w:t>
            </w:r>
          </w:p>
        </w:tc>
        <w:tc>
          <w:tcPr>
            <w:tcW w:type="dxa" w:w="4032"/>
            <w:shd w:fill="F1F5F9"/>
          </w:tcPr>
          <w:p>
            <w:pPr>
              <w:spacing w:after="40"/>
            </w:pPr>
            <w:r>
              <w:rPr>
                <w:sz w:val="18"/>
              </w:rPr>
              <w:t>Houses the sacred head of Barbarik from Mahabharata wars; major mela destination.</w:t>
            </w:r>
          </w:p>
        </w:tc>
        <w:tc>
          <w:tcPr>
            <w:tcW w:type="dxa" w:w="1728"/>
            <w:shd w:fill="F1F5F9"/>
          </w:tcPr>
          <w:p>
            <w:pPr>
              <w:spacing w:after="40"/>
            </w:pPr>
            <w:r>
              <w:rPr>
                <w:sz w:val="18"/>
              </w:rPr>
              <w:t>HIGH [SHK-S008]</w:t>
            </w:r>
          </w:p>
        </w:tc>
      </w:tr>
      <w:tr>
        <w:tc>
          <w:tcPr>
            <w:tcW w:type="dxa" w:w="2592"/>
            <w:shd w:fill="FFFFFF"/>
          </w:tcPr>
          <w:p>
            <w:pPr>
              <w:spacing w:after="40"/>
            </w:pPr>
            <w:r>
              <w:rPr>
                <w:sz w:val="18"/>
              </w:rPr>
              <w:t>Rani Sati Mandir</w:t>
            </w:r>
          </w:p>
        </w:tc>
        <w:tc>
          <w:tcPr>
            <w:tcW w:type="dxa" w:w="1728"/>
            <w:shd w:fill="FFFFFF"/>
          </w:tcPr>
          <w:p>
            <w:pPr>
              <w:spacing w:after="40"/>
            </w:pPr>
            <w:r>
              <w:rPr>
                <w:sz w:val="18"/>
              </w:rPr>
              <w:t>Jhunjhunu</w:t>
            </w:r>
          </w:p>
        </w:tc>
        <w:tc>
          <w:tcPr>
            <w:tcW w:type="dxa" w:w="2160"/>
            <w:shd w:fill="FFFFFF"/>
          </w:tcPr>
          <w:p>
            <w:pPr>
              <w:spacing w:after="40"/>
            </w:pPr>
            <w:r>
              <w:rPr>
                <w:sz w:val="18"/>
              </w:rPr>
              <w:t>Narayani Devi</w:t>
            </w:r>
          </w:p>
        </w:tc>
        <w:tc>
          <w:tcPr>
            <w:tcW w:type="dxa" w:w="4032"/>
            <w:shd w:fill="FFFFFF"/>
          </w:tcPr>
          <w:p>
            <w:pPr>
              <w:spacing w:after="40"/>
            </w:pPr>
            <w:r>
              <w:rPr>
                <w:sz w:val="18"/>
              </w:rPr>
              <w:t>Massive white marble complex dedicated to Narayani Devi (Rani Sati).</w:t>
            </w:r>
          </w:p>
        </w:tc>
        <w:tc>
          <w:tcPr>
            <w:tcW w:type="dxa" w:w="1728"/>
            <w:shd w:fill="FFFFFF"/>
          </w:tcPr>
          <w:p>
            <w:pPr>
              <w:spacing w:after="40"/>
            </w:pPr>
            <w:r>
              <w:rPr>
                <w:sz w:val="18"/>
              </w:rPr>
              <w:t>HIGH [SHK-S008]</w:t>
            </w:r>
          </w:p>
        </w:tc>
      </w:tr>
      <w:tr>
        <w:tc>
          <w:tcPr>
            <w:tcW w:type="dxa" w:w="2592"/>
            <w:shd w:fill="F1F5F9"/>
          </w:tcPr>
          <w:p>
            <w:pPr>
              <w:spacing w:after="40"/>
            </w:pPr>
            <w:r>
              <w:rPr>
                <w:sz w:val="18"/>
              </w:rPr>
              <w:t>Jeen Mata Mandir</w:t>
            </w:r>
          </w:p>
        </w:tc>
        <w:tc>
          <w:tcPr>
            <w:tcW w:type="dxa" w:w="1728"/>
            <w:shd w:fill="F1F5F9"/>
          </w:tcPr>
          <w:p>
            <w:pPr>
              <w:spacing w:after="40"/>
            </w:pPr>
            <w:r>
              <w:rPr>
                <w:sz w:val="18"/>
              </w:rPr>
              <w:t>Goriya (Sikar)</w:t>
            </w:r>
          </w:p>
        </w:tc>
        <w:tc>
          <w:tcPr>
            <w:tcW w:type="dxa" w:w="2160"/>
            <w:shd w:fill="F1F5F9"/>
          </w:tcPr>
          <w:p>
            <w:pPr>
              <w:spacing w:after="40"/>
            </w:pPr>
            <w:r>
              <w:rPr>
                <w:sz w:val="18"/>
              </w:rPr>
              <w:t>Durga / Shakti</w:t>
            </w:r>
          </w:p>
        </w:tc>
        <w:tc>
          <w:tcPr>
            <w:tcW w:type="dxa" w:w="4032"/>
            <w:shd w:fill="F1F5F9"/>
          </w:tcPr>
          <w:p>
            <w:pPr>
              <w:spacing w:after="40"/>
            </w:pPr>
            <w:r>
              <w:rPr>
                <w:sz w:val="18"/>
              </w:rPr>
              <w:t>Ancient 12th-century Shakti shrine located in a scenic Aravalli valley.</w:t>
            </w:r>
          </w:p>
        </w:tc>
        <w:tc>
          <w:tcPr>
            <w:tcW w:type="dxa" w:w="1728"/>
            <w:shd w:fill="F1F5F9"/>
          </w:tcPr>
          <w:p>
            <w:pPr>
              <w:spacing w:after="40"/>
            </w:pPr>
            <w:r>
              <w:rPr>
                <w:sz w:val="18"/>
              </w:rPr>
              <w:t>HIGH [SHK-S008]</w:t>
            </w:r>
          </w:p>
        </w:tc>
      </w:tr>
      <w:tr>
        <w:tc>
          <w:tcPr>
            <w:tcW w:type="dxa" w:w="2592"/>
            <w:shd w:fill="FFFFFF"/>
          </w:tcPr>
          <w:p>
            <w:pPr>
              <w:spacing w:after="40"/>
            </w:pPr>
            <w:r>
              <w:rPr>
                <w:sz w:val="18"/>
              </w:rPr>
              <w:t>Shakambhari Devi</w:t>
            </w:r>
          </w:p>
        </w:tc>
        <w:tc>
          <w:tcPr>
            <w:tcW w:type="dxa" w:w="1728"/>
            <w:shd w:fill="FFFFFF"/>
          </w:tcPr>
          <w:p>
            <w:pPr>
              <w:spacing w:after="40"/>
            </w:pPr>
            <w:r>
              <w:rPr>
                <w:sz w:val="18"/>
              </w:rPr>
              <w:t>Udaipurwati</w:t>
            </w:r>
          </w:p>
        </w:tc>
        <w:tc>
          <w:tcPr>
            <w:tcW w:type="dxa" w:w="2160"/>
            <w:shd w:fill="FFFFFF"/>
          </w:tcPr>
          <w:p>
            <w:pPr>
              <w:spacing w:after="40"/>
            </w:pPr>
            <w:r>
              <w:rPr>
                <w:sz w:val="18"/>
              </w:rPr>
              <w:t>Shakambhari</w:t>
            </w:r>
          </w:p>
        </w:tc>
        <w:tc>
          <w:tcPr>
            <w:tcW w:type="dxa" w:w="4032"/>
            <w:shd w:fill="FFFFFF"/>
          </w:tcPr>
          <w:p>
            <w:pPr>
              <w:spacing w:after="40"/>
            </w:pPr>
            <w:r>
              <w:rPr>
                <w:sz w:val="18"/>
              </w:rPr>
              <w:t>Sacred shrine surrounded by Aravalli hills, revered as vegetation deity.</w:t>
            </w:r>
          </w:p>
        </w:tc>
        <w:tc>
          <w:tcPr>
            <w:tcW w:type="dxa" w:w="1728"/>
            <w:shd w:fill="FFFFFF"/>
          </w:tcPr>
          <w:p>
            <w:pPr>
              <w:spacing w:after="40"/>
            </w:pPr>
            <w:r>
              <w:rPr>
                <w:sz w:val="18"/>
              </w:rPr>
              <w:t>HIGH [SHK-S008]</w:t>
            </w:r>
          </w:p>
        </w:tc>
      </w:tr>
      <w:tr>
        <w:tc>
          <w:tcPr>
            <w:tcW w:type="dxa" w:w="2592"/>
            <w:shd w:fill="F1F5F9"/>
          </w:tcPr>
          <w:p>
            <w:pPr>
              <w:spacing w:after="40"/>
            </w:pPr>
            <w:r>
              <w:rPr>
                <w:sz w:val="18"/>
              </w:rPr>
              <w:t>Raghunathji Temples</w:t>
            </w:r>
          </w:p>
        </w:tc>
        <w:tc>
          <w:tcPr>
            <w:tcW w:type="dxa" w:w="1728"/>
            <w:shd w:fill="F1F5F9"/>
          </w:tcPr>
          <w:p>
            <w:pPr>
              <w:spacing w:after="40"/>
            </w:pPr>
            <w:r>
              <w:rPr>
                <w:sz w:val="18"/>
              </w:rPr>
              <w:t>Ramgarh / Nawalgarh</w:t>
            </w:r>
          </w:p>
        </w:tc>
        <w:tc>
          <w:tcPr>
            <w:tcW w:type="dxa" w:w="2160"/>
            <w:shd w:fill="F1F5F9"/>
          </w:tcPr>
          <w:p>
            <w:pPr>
              <w:spacing w:after="40"/>
            </w:pPr>
            <w:r>
              <w:rPr>
                <w:sz w:val="18"/>
              </w:rPr>
              <w:t>Rama &amp; Sita</w:t>
            </w:r>
          </w:p>
        </w:tc>
        <w:tc>
          <w:tcPr>
            <w:tcW w:type="dxa" w:w="4032"/>
            <w:shd w:fill="F1F5F9"/>
          </w:tcPr>
          <w:p>
            <w:pPr>
              <w:spacing w:after="40"/>
            </w:pPr>
            <w:r>
              <w:rPr>
                <w:sz w:val="18"/>
              </w:rPr>
              <w:t>Lavishly painted wall frescoes depicting Ramayana narratives inside sanctum.</w:t>
            </w:r>
          </w:p>
        </w:tc>
        <w:tc>
          <w:tcPr>
            <w:tcW w:type="dxa" w:w="1728"/>
            <w:shd w:fill="F1F5F9"/>
          </w:tcPr>
          <w:p>
            <w:pPr>
              <w:spacing w:after="40"/>
            </w:pPr>
            <w:r>
              <w:rPr>
                <w:sz w:val="18"/>
              </w:rPr>
              <w:t>HIGH [SHK-S001]</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