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12. Folk Religion and Sacred Traditions</w:t>
      </w:r>
    </w:p>
    <w:p>
      <w:pPr>
        <w:spacing w:before="280" w:after="120"/>
      </w:pPr>
      <w:r>
        <w:rPr>
          <w:rFonts w:ascii="Arial" w:hAnsi="Arial"/>
          <w:b/>
          <w:color w:val="8B0000"/>
          <w:sz w:val="30"/>
        </w:rPr>
        <w:t>1. Lok Devtas (Folk Deities) of Shekhawati</w:t>
      </w:r>
    </w:p>
    <w:p>
      <w:pPr>
        <w:spacing w:after="120" w:line="276" w:lineRule="auto"/>
      </w:pPr>
      <w:r>
        <w:rPr>
          <w:i w:val="0"/>
        </w:rPr>
        <w:t>Beyond orthodox Puranic Hinduism, the spiritual life of rural Shekhawati is dominated by the worship of Lok Devtas—historical heroes and saints who sacrificed their lives protecting cattle, defending women, or eradicating social inequalities [Source: SHK-S008].</w:t>
      </w:r>
    </w:p>
    <w:tbl>
      <w:tblPr>
        <w:tblW w:type="auto" w:w="0"/>
        <w:jc w:val="center"/>
        <w:tblLook w:firstColumn="1" w:firstRow="1" w:lastColumn="0" w:lastRow="0" w:noHBand="0" w:noVBand="1" w:val="04A0"/>
      </w:tblPr>
      <w:tblGrid>
        <w:gridCol w:w="2340"/>
        <w:gridCol w:w="2340"/>
        <w:gridCol w:w="2340"/>
        <w:gridCol w:w="2340"/>
      </w:tblGrid>
      <w:tr>
        <w:tc>
          <w:tcPr>
            <w:tcW w:type="dxa" w:w="2592"/>
            <w:shd w:fill="1E3A8A"/>
          </w:tcPr>
          <w:p>
            <w:pPr>
              <w:spacing w:after="40"/>
              <w:jc w:val="left"/>
            </w:pPr>
            <w:r>
              <w:rPr>
                <w:rFonts w:ascii="Arial" w:hAnsi="Arial"/>
                <w:b/>
                <w:color w:val="FFFFFF"/>
                <w:sz w:val="19"/>
              </w:rPr>
              <w:t>Folk Deity</w:t>
            </w:r>
          </w:p>
        </w:tc>
        <w:tc>
          <w:tcPr>
            <w:tcW w:type="dxa" w:w="2592"/>
            <w:shd w:fill="1E3A8A"/>
          </w:tcPr>
          <w:p>
            <w:pPr>
              <w:spacing w:after="40"/>
              <w:jc w:val="left"/>
            </w:pPr>
            <w:r>
              <w:rPr>
                <w:rFonts w:ascii="Arial" w:hAnsi="Arial"/>
                <w:b/>
                <w:color w:val="FFFFFF"/>
                <w:sz w:val="19"/>
              </w:rPr>
              <w:t>Primary Shrine Location</w:t>
            </w:r>
          </w:p>
        </w:tc>
        <w:tc>
          <w:tcPr>
            <w:tcW w:type="dxa" w:w="3600"/>
            <w:shd w:fill="1E3A8A"/>
          </w:tcPr>
          <w:p>
            <w:pPr>
              <w:spacing w:after="40"/>
              <w:jc w:val="left"/>
            </w:pPr>
            <w:r>
              <w:rPr>
                <w:rFonts w:ascii="Arial" w:hAnsi="Arial"/>
                <w:b/>
                <w:color w:val="FFFFFF"/>
                <w:sz w:val="19"/>
              </w:rPr>
              <w:t>Sphere of Protection</w:t>
            </w:r>
          </w:p>
        </w:tc>
        <w:tc>
          <w:tcPr>
            <w:tcW w:type="dxa" w:w="3456"/>
            <w:shd w:fill="1E3A8A"/>
          </w:tcPr>
          <w:p>
            <w:pPr>
              <w:spacing w:after="40"/>
              <w:jc w:val="left"/>
            </w:pPr>
            <w:r>
              <w:rPr>
                <w:rFonts w:ascii="Arial" w:hAnsi="Arial"/>
                <w:b/>
                <w:color w:val="FFFFFF"/>
                <w:sz w:val="19"/>
              </w:rPr>
              <w:t>Sacred Symbols &amp; Iconography</w:t>
            </w:r>
          </w:p>
        </w:tc>
      </w:tr>
      <w:tr>
        <w:tc>
          <w:tcPr>
            <w:tcW w:type="dxa" w:w="2592"/>
            <w:shd w:fill="FFFFFF"/>
          </w:tcPr>
          <w:p>
            <w:pPr>
              <w:spacing w:after="40"/>
            </w:pPr>
            <w:r>
              <w:rPr>
                <w:sz w:val="18"/>
              </w:rPr>
              <w:t>Goga Ji (Goga Peer)</w:t>
            </w:r>
          </w:p>
        </w:tc>
        <w:tc>
          <w:tcPr>
            <w:tcW w:type="dxa" w:w="2592"/>
            <w:shd w:fill="FFFFFF"/>
          </w:tcPr>
          <w:p>
            <w:pPr>
              <w:spacing w:after="40"/>
            </w:pPr>
            <w:r>
              <w:rPr>
                <w:sz w:val="18"/>
              </w:rPr>
              <w:t>Gogamedi / Regional Thans</w:t>
            </w:r>
          </w:p>
        </w:tc>
        <w:tc>
          <w:tcPr>
            <w:tcW w:type="dxa" w:w="3600"/>
            <w:shd w:fill="FFFFFF"/>
          </w:tcPr>
          <w:p>
            <w:pPr>
              <w:spacing w:after="40"/>
            </w:pPr>
            <w:r>
              <w:rPr>
                <w:sz w:val="18"/>
              </w:rPr>
              <w:t>Protector against snake bites &amp; skin ailments.</w:t>
            </w:r>
          </w:p>
        </w:tc>
        <w:tc>
          <w:tcPr>
            <w:tcW w:type="dxa" w:w="3456"/>
            <w:shd w:fill="FFFFFF"/>
          </w:tcPr>
          <w:p>
            <w:pPr>
              <w:spacing w:after="40"/>
            </w:pPr>
            <w:r>
              <w:rPr>
                <w:sz w:val="18"/>
              </w:rPr>
              <w:t>Depicted riding a blue horse holding a spear and snake.</w:t>
            </w:r>
          </w:p>
        </w:tc>
      </w:tr>
      <w:tr>
        <w:tc>
          <w:tcPr>
            <w:tcW w:type="dxa" w:w="2592"/>
            <w:shd w:fill="F1F5F9"/>
          </w:tcPr>
          <w:p>
            <w:pPr>
              <w:spacing w:after="40"/>
            </w:pPr>
            <w:r>
              <w:rPr>
                <w:sz w:val="18"/>
              </w:rPr>
              <w:t>Ramdev Ji (Baba Ramdev)</w:t>
            </w:r>
          </w:p>
        </w:tc>
        <w:tc>
          <w:tcPr>
            <w:tcW w:type="dxa" w:w="2592"/>
            <w:shd w:fill="F1F5F9"/>
          </w:tcPr>
          <w:p>
            <w:pPr>
              <w:spacing w:after="40"/>
            </w:pPr>
            <w:r>
              <w:rPr>
                <w:sz w:val="18"/>
              </w:rPr>
              <w:t>Ramdevra / Village Shrines</w:t>
            </w:r>
          </w:p>
        </w:tc>
        <w:tc>
          <w:tcPr>
            <w:tcW w:type="dxa" w:w="3600"/>
            <w:shd w:fill="F1F5F9"/>
          </w:tcPr>
          <w:p>
            <w:pPr>
              <w:spacing w:after="40"/>
            </w:pPr>
            <w:r>
              <w:rPr>
                <w:sz w:val="18"/>
              </w:rPr>
              <w:t>Eradicator of caste discrimination; healer.</w:t>
            </w:r>
          </w:p>
        </w:tc>
        <w:tc>
          <w:tcPr>
            <w:tcW w:type="dxa" w:w="3456"/>
            <w:shd w:fill="F1F5F9"/>
          </w:tcPr>
          <w:p>
            <w:pPr>
              <w:spacing w:after="40"/>
            </w:pPr>
            <w:r>
              <w:rPr>
                <w:sz w:val="18"/>
              </w:rPr>
              <w:t>Depicted on horseback with a five-colored flag (Neja).</w:t>
            </w:r>
          </w:p>
        </w:tc>
      </w:tr>
      <w:tr>
        <w:tc>
          <w:tcPr>
            <w:tcW w:type="dxa" w:w="2592"/>
            <w:shd w:fill="FFFFFF"/>
          </w:tcPr>
          <w:p>
            <w:pPr>
              <w:spacing w:after="40"/>
            </w:pPr>
            <w:r>
              <w:rPr>
                <w:sz w:val="18"/>
              </w:rPr>
              <w:t>Pabuji</w:t>
            </w:r>
          </w:p>
        </w:tc>
        <w:tc>
          <w:tcPr>
            <w:tcW w:type="dxa" w:w="2592"/>
            <w:shd w:fill="FFFFFF"/>
          </w:tcPr>
          <w:p>
            <w:pPr>
              <w:spacing w:after="40"/>
            </w:pPr>
            <w:r>
              <w:rPr>
                <w:sz w:val="18"/>
              </w:rPr>
              <w:t>Village Thans</w:t>
            </w:r>
          </w:p>
        </w:tc>
        <w:tc>
          <w:tcPr>
            <w:tcW w:type="dxa" w:w="3600"/>
            <w:shd w:fill="FFFFFF"/>
          </w:tcPr>
          <w:p>
            <w:pPr>
              <w:spacing w:after="40"/>
            </w:pPr>
            <w:r>
              <w:rPr>
                <w:sz w:val="18"/>
              </w:rPr>
              <w:t>Protector of camels and livestock.</w:t>
            </w:r>
          </w:p>
        </w:tc>
        <w:tc>
          <w:tcPr>
            <w:tcW w:type="dxa" w:w="3456"/>
            <w:shd w:fill="FFFFFF"/>
          </w:tcPr>
          <w:p>
            <w:pPr>
              <w:spacing w:after="40"/>
            </w:pPr>
            <w:r>
              <w:rPr>
                <w:sz w:val="18"/>
              </w:rPr>
              <w:t>Depicted holding a spear on black mare (Kesar Kalami).</w:t>
            </w:r>
          </w:p>
        </w:tc>
      </w:tr>
      <w:tr>
        <w:tc>
          <w:tcPr>
            <w:tcW w:type="dxa" w:w="2592"/>
            <w:shd w:fill="F1F5F9"/>
          </w:tcPr>
          <w:p>
            <w:pPr>
              <w:spacing w:after="40"/>
            </w:pPr>
            <w:r>
              <w:rPr>
                <w:sz w:val="18"/>
              </w:rPr>
              <w:t>Tejaji</w:t>
            </w:r>
          </w:p>
        </w:tc>
        <w:tc>
          <w:tcPr>
            <w:tcW w:type="dxa" w:w="2592"/>
            <w:shd w:fill="F1F5F9"/>
          </w:tcPr>
          <w:p>
            <w:pPr>
              <w:spacing w:after="40"/>
            </w:pPr>
            <w:r>
              <w:rPr>
                <w:sz w:val="18"/>
              </w:rPr>
              <w:t>Sikar / Rural Shrines</w:t>
            </w:r>
          </w:p>
        </w:tc>
        <w:tc>
          <w:tcPr>
            <w:tcW w:type="dxa" w:w="3600"/>
            <w:shd w:fill="F1F5F9"/>
          </w:tcPr>
          <w:p>
            <w:pPr>
              <w:spacing w:after="40"/>
            </w:pPr>
            <w:r>
              <w:rPr>
                <w:sz w:val="18"/>
              </w:rPr>
              <w:t>Protector of farmers and agricultural fields.</w:t>
            </w:r>
          </w:p>
        </w:tc>
        <w:tc>
          <w:tcPr>
            <w:tcW w:type="dxa" w:w="3456"/>
            <w:shd w:fill="F1F5F9"/>
          </w:tcPr>
          <w:p>
            <w:pPr>
              <w:spacing w:after="40"/>
            </w:pPr>
            <w:r>
              <w:rPr>
                <w:sz w:val="18"/>
              </w:rPr>
              <w:t>Depicted standing with sword while a snake bites his tongue.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