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17. Folk Dance and Performance Arts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Dance Forms &amp; Traditional Folk Theatre</w:t>
      </w:r>
    </w:p>
    <w:p>
      <w:pPr>
        <w:spacing w:after="120" w:line="276" w:lineRule="auto"/>
      </w:pPr>
      <w:r>
        <w:rPr>
          <w:i w:val="0"/>
        </w:rPr>
        <w:t>Performance arts in Shekhawati encompass both community dances and complex folk theatre forms that combine oral poetry, mime, music, and dance: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Chang Dance (Dhamal Dance): </w:t>
      </w:r>
      <w:r>
        <w:t>The signature dance of Shekhawati performed during Holi. Men dress in traditional attire (or as comical caricatures called 'Kolyas') and dance in concentric circles while beating large circular Chang drums.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Shekhawati Khyal: </w:t>
      </w:r>
      <w:r>
        <w:t>A celebrated folk theatre form unique to Shekhawati and northern Rajasthan. Performed on open-air stages (Akhadas), Khyal plays enact historical romances, heroic sagas, and social satires using melodious verse.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Phad Bhaanchana (Scroll Storytelling): </w:t>
      </w:r>
      <w:r>
        <w:t>Performances by hereditary bards (Bhopas) who unroll a 30-foot painted scroll (Phad) depicting the life of Lok Devtas, singing ballads by lantern light.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Kathputli Puppetry: </w:t>
      </w:r>
      <w:r>
        <w:t>Traditional string puppetry depicting the legendary court of Amar Singh Rathore of Nagaur, accompanied by the whistle sound of the 'Boli'.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