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A365D"/>
          <w:sz w:val="18"/>
        </w:rPr>
        <w:t>SHEKHAWATI CULTURAL HERITAGE KNOWLEDGE BASE</w:t>
      </w:r>
    </w:p>
    <w:p>
      <w:pPr>
        <w:spacing w:after="280"/>
      </w:pPr>
      <w:r>
        <w:rPr>
          <w:rFonts w:ascii="Arial" w:hAnsi="Arial"/>
          <w:b/>
          <w:color w:val="8B0000"/>
          <w:sz w:val="44"/>
        </w:rPr>
        <w:t>19. Literature and Oral Traditions</w:t>
      </w:r>
    </w:p>
    <w:p>
      <w:pPr>
        <w:spacing w:before="280" w:after="120"/>
      </w:pPr>
      <w:r>
        <w:rPr>
          <w:rFonts w:ascii="Arial" w:hAnsi="Arial"/>
          <w:b/>
          <w:color w:val="8B0000"/>
          <w:sz w:val="30"/>
        </w:rPr>
        <w:t>1. Bardic Poetry &amp; Merchant Archives</w:t>
      </w:r>
    </w:p>
    <w:p>
      <w:pPr>
        <w:spacing w:after="120" w:line="276" w:lineRule="auto"/>
      </w:pPr>
      <w:r>
        <w:rPr>
          <w:i w:val="0"/>
        </w:rPr>
        <w:t>Shekhawati's literary heritage exists in two distinct modes: high classical bardic poetry (Dingal) patronized by Rajput courts, and vernacular commercial ledgers (Bahi-Khatas) maintained by Marwari merchants.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Dingal Literature: </w:t>
      </w:r>
      <w:r>
        <w:t>The archaic martial poetic register of Rajasthani used by Charans and Bhats to compose heroic poems celebrating battles, chivalry, and clan lineages.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Bahi-Khatas (Merchant Archives): </w:t>
      </w:r>
      <w:r>
        <w:t>Meticulously maintained mercantile ledgers recording trade transactions, loan agreements, family genealogies, and town history over three centuries.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Folk Proverbs (Kahawatein): </w:t>
      </w:r>
      <w:r>
        <w:t>Rich tradition of oral proverbs reflecting desert wisdom regarding weather, crops, human character, and water conservation.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