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20. Folklore, Myths and Legends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Categorized Folklore &amp; Mythological Inventory</w:t>
      </w:r>
    </w:p>
    <w:p>
      <w:pPr>
        <w:spacing w:after="120" w:line="276" w:lineRule="auto"/>
      </w:pPr>
      <w:r>
        <w:rPr>
          <w:i w:val="0"/>
        </w:rPr>
        <w:t>To preserve cultural nuance without misrepresenting historical evidence, all regional narratives are explicitly classified by evidentiary status [Source: SHK-S002, SHK-S008]: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Story Title</w:t>
            </w:r>
          </w:p>
        </w:tc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 / Location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Narrative Summary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Evidentiary Classification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Vow of Rao Shekha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Amarsar / Barwada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Shekha's refusal to pay cattle tax to Amber, leading to independent sovereignty.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HISTORICAL FACT [SHK-S002]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Silver Cannonballs of Churu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Churu Fort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Townspeople melting silver jewelry to make cannonballs during Bikaner siege.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HISTORICAL / FOLKLORE [SHK-S002]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Miracle of Salasar Balaji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Salasar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Discovery of the bearded Hanuman idol by a Jat farmer while plowing his field.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RELIGIOUS TRADITION [SHK-S008]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Headless Warrior Barbarik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Khatushyamji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Barbarik offering his head to Lord Krishna before the Mahabharata war.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MYTHOLOGY / PURANIC [SHK-S008]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Legend of Dhola-Maru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Pan-Shekhawati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Tragic romantic saga of Prince Dhola and Princess Maru riding a swift camel.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FOLKLORE / ORAL TRADITION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