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22. Trade Routes and Business History</w:t>
      </w:r>
    </w:p>
    <w:p>
      <w:pPr>
        <w:spacing w:before="280" w:after="120"/>
      </w:pPr>
      <w:r>
        <w:rPr>
          <w:rFonts w:ascii="Arial" w:hAnsi="Arial"/>
          <w:b/>
          <w:color w:val="8B0000"/>
          <w:sz w:val="30"/>
        </w:rPr>
        <w:t>1. Inland Caravan Routes &amp; Colonial Transformation</w:t>
      </w:r>
    </w:p>
    <w:p>
      <w:pPr>
        <w:spacing w:after="120" w:line="276" w:lineRule="auto"/>
      </w:pPr>
      <w:r>
        <w:rPr>
          <w:i w:val="0"/>
        </w:rPr>
        <w:t>During the 18th and early 19th centuries, Shekhawati sat at the intersection of major camel caravan routes connecting the agricultural heartlands of Punjab and Delhi with the maritime ports of Gujarat (Surat, Mandvi). Merchant caravans transported raw cotton, wool, silk, opium, and salt across the desert.</w:t>
      </w:r>
    </w:p>
    <w:p>
      <w:pPr>
        <w:spacing w:before="280" w:after="120"/>
      </w:pPr>
      <w:r>
        <w:rPr>
          <w:rFonts w:ascii="Arial" w:hAnsi="Arial"/>
          <w:b/>
          <w:color w:val="8B0000"/>
          <w:sz w:val="30"/>
        </w:rPr>
        <w:t>2. Impact of British Railways (1880–1920)</w:t>
      </w:r>
    </w:p>
    <w:p>
      <w:pPr>
        <w:spacing w:after="120" w:line="276" w:lineRule="auto"/>
      </w:pPr>
      <w:r>
        <w:rPr>
          <w:i w:val="0"/>
        </w:rPr>
        <w:t>The expansion of the British Indian Railway network bypassed traditional overland camel routes, shifting commercial traffic to maritime ports. Shekhawati's merchants strategically relocated their operational headquarters to Kolkata and Mumbai, funneling profits back home to build grand Haveli mansions [Source: SHK-S006].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