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23. Traditional Occupations and Guilds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Hereditary Occupational Structure</w:t>
      </w:r>
    </w:p>
    <w:p>
      <w:pPr>
        <w:spacing w:after="120" w:line="276" w:lineRule="auto"/>
      </w:pPr>
      <w:r>
        <w:rPr>
          <w:i w:val="0"/>
        </w:rPr>
        <w:t>The economic ecosystem of Shekhawati relied on specialized occupational castes functioning within a interdependent village economy: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Cheteras (Painters): </w:t>
      </w:r>
      <w:r>
        <w:t>Master wall painters who executed frescoes on lime plaster walls.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Khati (Woodworkers): </w:t>
      </w:r>
      <w:r>
        <w:t>Carpenters who carved doors, balconies, and wooden beams for havelis.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Kumhars &amp; Silawats: </w:t>
      </w:r>
      <w:r>
        <w:t>Masons specializing in slaked lime plastering (Araish) and stone masonry.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Rebaris / Raikas: </w:t>
      </w:r>
      <w:r>
        <w:t>Pastoral camel herders who managed desert livestock and caravan transport.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Munims (Clerks): </w:t>
      </w:r>
      <w:r>
        <w:t>Head accountants who managed merchant offices and financial ledgers.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