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26. Water Heritage &amp; Hydrological Architecture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Water Harvesting Typology of Shekhawati</w:t>
      </w:r>
    </w:p>
    <w:p>
      <w:pPr>
        <w:spacing w:after="120" w:line="276" w:lineRule="auto"/>
      </w:pPr>
      <w:r>
        <w:rPr>
          <w:i w:val="0"/>
        </w:rPr>
        <w:t>In the semi-arid landscape of Shekhawati, water scarcity dictated architectural survival. The region developed four distinct traditional water harvesting structures [Source: SHK-S007]: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Structure Type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Vernacular Name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Engineering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Social &amp; Hydrological Function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Stepwell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Baori (बावड़ी)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Multi-tiered subterranean masonry structure with steps leading down to water level.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Public water supply, social gathering, cooling sanctuary during summer.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Check Dam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Johad (जोहड़)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Earthen crescent check dam built across natural catchment contours.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Recharges underground aquifers &amp; village wells; provides livestock water.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Underground Tank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Kund / Taanka (टांका)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Circular lime-lined cistern collecting clean rainwater directly from roofs or catchment aprons.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Pristine drinking water storage; sealed against dust and evaporation.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Covered Well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Kua / Kui (कुआँ)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Deep masonry well flanked by ornamental minarets/pavilions.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Community water drawdown; architectural landmark in town centers.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