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27. Natural Heritage and Desert Ecosystems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Protected Sanctuaries &amp; Sacred Groves</w:t>
      </w:r>
    </w:p>
    <w:p>
      <w:pPr>
        <w:spacing w:after="120" w:line="276" w:lineRule="auto"/>
      </w:pPr>
      <w:r>
        <w:rPr>
          <w:i w:val="0"/>
        </w:rPr>
        <w:t>Shekhawati encompasses unique ecological zones along the Thar Desert fringe: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Tal Chhapar Blackbuck Sanctuary: </w:t>
      </w:r>
      <w:r>
        <w:t>Famous wildlife sanctuary in Churu district covering flat saline depression (Rann). Home to over 4,000 Blackbucks, Desert Cats, and migratory raptors.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Harsh Parvat (Harshnath Hill): </w:t>
      </w:r>
      <w:r>
        <w:t>Aravalli hill ridge in Sikar rising to 1,050 meters, supporting endemic desert flora and ancient Shiva temple complex.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Orans (Sacred Groves): </w:t>
      </w:r>
      <w:r>
        <w:t>Community-protected forest patches dedicated to local deities (such as Jeen Mata or Goga Ji), where felling trees is strictly prohibited.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