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30. Frescoes and Paintings Database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Catalog of Fresco Themes &amp; Locations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Entity ID</w:t>
            </w:r>
          </w:p>
        </w:tc>
        <w:tc>
          <w:tcPr>
            <w:tcW w:type="dxa" w:w="316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Fresco Motif / Subject</w:t>
            </w:r>
          </w:p>
        </w:tc>
        <w:tc>
          <w:tcPr>
            <w:tcW w:type="dxa" w:w="288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Location / Haveli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Medium &amp; Style</w:t>
            </w:r>
          </w:p>
        </w:tc>
        <w:tc>
          <w:tcPr>
            <w:tcW w:type="dxa" w:w="187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Historical Era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SHK-FR-001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Steam Engine &amp; Railway Train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Poddar Haveli, Nawalgarh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Buon Fresco / Araish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Colonial Era (c. 1905)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SHK-FR-002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Wright Brothers Biplane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Murmuria Haveli, Mandawa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Buon Fresco</w:t>
            </w:r>
          </w:p>
        </w:tc>
        <w:tc>
          <w:tcPr>
            <w:tcW w:type="dxa" w:w="1872"/>
            <w:shd w:fill="F1F5F9"/>
          </w:tcPr>
          <w:p>
            <w:pPr>
              <w:spacing w:after="40"/>
            </w:pPr>
            <w:r>
              <w:rPr>
                <w:sz w:val="18"/>
              </w:rPr>
              <w:t>Late Colonial (c. 1930)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SHK-FR-003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Gold Leaf Krishna Rasa-Lila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Sone Chandi Haveli, Mahansar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Gold Leaf &amp; Mineral Dyes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Mid 19th C. (1846)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SHK-FR-004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Ramayana Battle Narratives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Raghunathji Temple, Ramgarh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Tempera &amp; Lime Fresco</w:t>
            </w:r>
          </w:p>
        </w:tc>
        <w:tc>
          <w:tcPr>
            <w:tcW w:type="dxa" w:w="1872"/>
            <w:shd w:fill="F1F5F9"/>
          </w:tcPr>
          <w:p>
            <w:pPr>
              <w:spacing w:after="40"/>
            </w:pPr>
            <w:r>
              <w:rPr>
                <w:sz w:val="18"/>
              </w:rPr>
              <w:t>19th Century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