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39. Museums and Cultural Institutions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Key Museums &amp; Heritage Archives</w:t>
      </w:r>
    </w:p>
    <w:p>
      <w:pPr>
        <w:spacing w:after="120" w:line="276" w:lineRule="auto"/>
      </w:pPr>
      <w:r>
        <w:rPr>
          <w:i w:val="0"/>
        </w:rPr>
        <w:t>Several public and private museums preserve the material culture, frescoes, and historical artifacts of Shekhawati: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Institution Name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Founder / Management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Collection &amp; Exhibits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Dr. Ramnath A. Podar Haveli Museum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Nawalgarh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Anandilal Poddar Trust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Restored 1902 Haveli housing exhibits on Rajasthani culture, turban gallery, &amp; frescoes.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Nadine Le Prince Cultural Centre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Fatehpur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Nadine Le Prince (French Artist)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1802 Haveli converted into an international art residency &amp; fresco restoration museum.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Morarka Haveli Museum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Nawalgarh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Morarka Family Trust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Meticulously restored haveli demonstrating 19th-century Marwari merchant living spaces.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BITS Heritage Museum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Pilani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Birla Education Trust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Exhibits detailing the history of the Birla family, industrial development, &amp; education.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