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41. Cultural Etiquette for Visitors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Responsible Tourism Code</w:t>
      </w:r>
    </w:p>
    <w:p>
      <w:pPr>
        <w:spacing w:after="120" w:line="276" w:lineRule="auto"/>
      </w:pPr>
      <w:r>
        <w:rPr>
          <w:i w:val="0"/>
        </w:rPr>
        <w:t>Visitors are advised to observe local socio-cultural norms when exploring Shekhawati's living heritage: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Respect for Private Havelis: </w:t>
      </w:r>
      <w:r>
        <w:t>Many havelis remain private family residences or are managed by local caretakers. Always seek permission before entering inner courtyards or taking photographs.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Temple &amp; Sacred Site Conduct: </w:t>
      </w:r>
      <w:r>
        <w:t>Remove footwear before entering temple sanctums. Dress modestly covering shoulders and knees when visiting sacred shrines.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Photography Ethics: </w:t>
      </w:r>
      <w:r>
        <w:t>Always ask permission before photographing local women, elders, or religious mendicants.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Supporting Local Craft Artisans: </w:t>
      </w:r>
      <w:r>
        <w:t>Purchase lac bangles, carved woodwork, and bandhani textiles directly from local artisan workshops to support community livelihoods.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