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42. Lesser-Known Shekhawati &amp; Hidden Heritage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Unheralded Heritage Beyond Mandawa</w:t>
      </w:r>
    </w:p>
    <w:p>
      <w:pPr>
        <w:spacing w:after="120" w:line="276" w:lineRule="auto"/>
      </w:pPr>
      <w:r>
        <w:rPr>
          <w:i w:val="0"/>
        </w:rPr>
        <w:t>Beyond the popular tourist hub of Mandawa lies an immense wealth of lesser-known heritage waiting to be explored: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Mahansar Village: </w:t>
      </w:r>
      <w:r>
        <w:t>Features the extraordinary 'Sone Chandi ki Haveli' containing ceiling murals painted with 24-carat liquid gold leaf depicting incarnation scenes.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Alsisar Thikana: </w:t>
      </w:r>
      <w:r>
        <w:t>A peaceful thikana town featuring the grand Alsisar Mahal, intact streetscapes, and uncrowded frescoed havelis.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Churu Old City: </w:t>
      </w:r>
      <w:r>
        <w:t>Home to the Surana Haveli boasting 1,111 windows and doors designed for continuous wind cross-ventilation in desert summers.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Khetri Ramakrishna Mission: </w:t>
      </w:r>
      <w:r>
        <w:t>Historical estate where Swami Vivekananda resided under the patronage of Raja Ajit Singh before traveling to the 1893 Chicago Parliament of Religions.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