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43. Modern Cultural Evolution &amp; Then vs Now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Structural Transformation of Shekhawati</w:t>
      </w:r>
    </w:p>
    <w:p>
      <w:pPr>
        <w:spacing w:after="120" w:line="276" w:lineRule="auto"/>
      </w:pPr>
      <w:r>
        <w:rPr>
          <w:i w:val="0"/>
        </w:rPr>
        <w:t>The socio-cultural landscape of Shekhawati has undergone profound changes over the past century: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Cultural Dimension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Historical State (1880–1930 CE)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Modern Reality (Present Day)</w:t>
            </w:r>
          </w:p>
        </w:tc>
        <w:tc>
          <w:tcPr>
            <w:tcW w:type="dxa" w:w="230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Impact &amp; Trend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Haveli Residency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Vibrant living mansions filled with merchant families, munims, and servants.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Mostly locked or maintained by caretakers; owners live in Kolkata/Mumbai.</w:t>
            </w:r>
          </w:p>
        </w:tc>
        <w:tc>
          <w:tcPr>
            <w:tcW w:type="dxa" w:w="2304"/>
            <w:shd w:fill="FFFFFF"/>
          </w:tcPr>
          <w:p>
            <w:pPr>
              <w:spacing w:after="40"/>
            </w:pPr>
            <w:r>
              <w:rPr>
                <w:sz w:val="18"/>
              </w:rPr>
              <w:t>High risk of structural decay due to absentee ownership [SHK-S001].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Fresco Art Patronage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Continuous commissioning of master Cheteras for new wall paintings.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Traditional fresco painting has ceased; replaced by synthetic paints.</w:t>
            </w:r>
          </w:p>
        </w:tc>
        <w:tc>
          <w:tcPr>
            <w:tcW w:type="dxa" w:w="2304"/>
            <w:shd w:fill="F1F5F9"/>
          </w:tcPr>
          <w:p>
            <w:pPr>
              <w:spacing w:after="40"/>
            </w:pPr>
            <w:r>
              <w:rPr>
                <w:sz w:val="18"/>
              </w:rPr>
              <w:t>Loss of traditional Araish plaster skills among younger generations.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Economic Engine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Inland trade, moneylending, agriculture, and silk route commerce.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Heritage tourism, hotel operations, remittances from Gulf/Metros, education.</w:t>
            </w:r>
          </w:p>
        </w:tc>
        <w:tc>
          <w:tcPr>
            <w:tcW w:type="dxa" w:w="2304"/>
            <w:shd w:fill="FFFFFF"/>
          </w:tcPr>
          <w:p>
            <w:pPr>
              <w:spacing w:after="40"/>
            </w:pPr>
            <w:r>
              <w:rPr>
                <w:sz w:val="18"/>
              </w:rPr>
              <w:t>Transition to service &amp; tourism economy.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Building Conversion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Private family homes and ancestral thikana garrisons.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Conversion of forts and havelis into boutique luxury heritage hotels.</w:t>
            </w:r>
          </w:p>
        </w:tc>
        <w:tc>
          <w:tcPr>
            <w:tcW w:type="dxa" w:w="2304"/>
            <w:shd w:fill="F1F5F9"/>
          </w:tcPr>
          <w:p>
            <w:pPr>
              <w:spacing w:after="40"/>
            </w:pPr>
            <w:r>
              <w:rPr>
                <w:sz w:val="18"/>
              </w:rPr>
              <w:t>Economic viability for preservation, though sometimes over-renovated.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