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45. Cultural Economy &amp; Livelihoods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Economics of Heritage &amp; Tourism</w:t>
      </w:r>
    </w:p>
    <w:p>
      <w:pPr>
        <w:spacing w:after="120" w:line="276" w:lineRule="auto"/>
      </w:pPr>
      <w:r>
        <w:rPr>
          <w:i w:val="0"/>
        </w:rPr>
        <w:t>Culture is a major economic driver in modern Shekhawati, sustaining thousands of local livelihoods across multiple sectors: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Heritage Hotel Sector: </w:t>
      </w:r>
      <w:r>
        <w:t>Over 40 historic forts and havelis operated as heritage hotels generate direct employment for local youth in hospitality, food, and maintenance.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Film Production Economy: </w:t>
      </w:r>
      <w:r>
        <w:t>Mandawa and Nawalgarh serve as prime outdoor shooting locations for major Bollywood, Tollywood, and international film productions, generating local revenue.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Micro-Tourism Livelihoods: </w:t>
      </w:r>
      <w:r>
        <w:t>Local guides, camel safari operators, auto-rickshaw drivers, and handicraft bazaars derive primary income from cultural tourism.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