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A365D"/>
          <w:sz w:val="18"/>
        </w:rPr>
        <w:t>SHEKHAWATI CULTURAL HERITAGE KNOWLEDGE BASE</w:t>
      </w:r>
    </w:p>
    <w:p>
      <w:pPr>
        <w:spacing w:after="280"/>
      </w:pPr>
      <w:r>
        <w:rPr>
          <w:rFonts w:ascii="Arial" w:hAnsi="Arial"/>
          <w:b/>
          <w:color w:val="8B0000"/>
          <w:sz w:val="44"/>
        </w:rPr>
        <w:t>49. Image, Video and Audio Media Research Database</w:t>
      </w:r>
    </w:p>
    <w:p>
      <w:pPr>
        <w:spacing w:before="280" w:after="120"/>
      </w:pPr>
      <w:r>
        <w:rPr>
          <w:rFonts w:ascii="Arial" w:hAnsi="Arial"/>
          <w:b/>
          <w:color w:val="8B0000"/>
          <w:sz w:val="30"/>
        </w:rPr>
        <w:t>1. Multimedia Asset Registry</w:t>
      </w:r>
    </w:p>
    <w:p>
      <w:pPr>
        <w:spacing w:after="120" w:line="276" w:lineRule="auto"/>
      </w:pPr>
      <w:r>
        <w:rPr>
          <w:i w:val="0"/>
        </w:rPr>
        <w:t>Structured media asset metadata for platform media player integration: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Asset ID</w:t>
            </w:r>
          </w:p>
        </w:tc>
        <w:tc>
          <w:tcPr>
            <w:tcW w:type="dxa" w:w="316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Title &amp; Description</w:t>
            </w:r>
          </w:p>
        </w:tc>
        <w:tc>
          <w:tcPr>
            <w:tcW w:type="dxa" w:w="172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Media Type</w:t>
            </w:r>
          </w:p>
        </w:tc>
        <w:tc>
          <w:tcPr>
            <w:tcW w:type="dxa" w:w="288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Subject / Location</w:t>
            </w:r>
          </w:p>
        </w:tc>
        <w:tc>
          <w:tcPr>
            <w:tcW w:type="dxa" w:w="3456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License &amp; Attribution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MED-IMG-001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Poddar Haveli Façade Frescoes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Image (JPEG)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Poddar Haveli, Nawalgarh</w:t>
            </w:r>
          </w:p>
        </w:tc>
        <w:tc>
          <w:tcPr>
            <w:tcW w:type="dxa" w:w="3456"/>
            <w:shd w:fill="FFFFFF"/>
          </w:tcPr>
          <w:p>
            <w:pPr>
              <w:spacing w:after="40"/>
            </w:pPr>
            <w:r>
              <w:rPr>
                <w:sz w:val="18"/>
              </w:rPr>
              <w:t>CC BY-SA 4.0 / INTACH Documentation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MED-IMG-002</w:t>
            </w:r>
          </w:p>
        </w:tc>
        <w:tc>
          <w:tcPr>
            <w:tcW w:type="dxa" w:w="3168"/>
            <w:shd w:fill="F1F5F9"/>
          </w:tcPr>
          <w:p>
            <w:pPr>
              <w:spacing w:after="40"/>
            </w:pPr>
            <w:r>
              <w:rPr>
                <w:sz w:val="18"/>
              </w:rPr>
              <w:t>Steam Locomotive Fresco Detail</w:t>
            </w:r>
          </w:p>
        </w:tc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Image (JPEG)</w:t>
            </w:r>
          </w:p>
        </w:tc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Murmuria Haveli, Mandawa</w:t>
            </w:r>
          </w:p>
        </w:tc>
        <w:tc>
          <w:tcPr>
            <w:tcW w:type="dxa" w:w="3456"/>
            <w:shd w:fill="F1F5F9"/>
          </w:tcPr>
          <w:p>
            <w:pPr>
              <w:spacing w:after="40"/>
            </w:pPr>
            <w:r>
              <w:rPr>
                <w:sz w:val="18"/>
              </w:rPr>
              <w:t>Public Domain / Architectural Archive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MED-AUD-001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Chang-Dhamal Holi Performance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Audio (MP3)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Village Square, Nawalgarh</w:t>
            </w:r>
          </w:p>
        </w:tc>
        <w:tc>
          <w:tcPr>
            <w:tcW w:type="dxa" w:w="3456"/>
            <w:shd w:fill="FFFFFF"/>
          </w:tcPr>
          <w:p>
            <w:pPr>
              <w:spacing w:after="40"/>
            </w:pPr>
            <w:r>
              <w:rPr>
                <w:sz w:val="18"/>
              </w:rPr>
              <w:t>Field Recording / Creative Commons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MED-VID-001</w:t>
            </w:r>
          </w:p>
        </w:tc>
        <w:tc>
          <w:tcPr>
            <w:tcW w:type="dxa" w:w="3168"/>
            <w:shd w:fill="F1F5F9"/>
          </w:tcPr>
          <w:p>
            <w:pPr>
              <w:spacing w:after="40"/>
            </w:pPr>
            <w:r>
              <w:rPr>
                <w:sz w:val="18"/>
              </w:rPr>
              <w:t>Araish Plaster Burnishing Process</w:t>
            </w:r>
          </w:p>
        </w:tc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Video (MP4)</w:t>
            </w:r>
          </w:p>
        </w:tc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Fatehpur Conservation Site</w:t>
            </w:r>
          </w:p>
        </w:tc>
        <w:tc>
          <w:tcPr>
            <w:tcW w:type="dxa" w:w="3456"/>
            <w:shd w:fill="F1F5F9"/>
          </w:tcPr>
          <w:p>
            <w:pPr>
              <w:spacing w:after="40"/>
            </w:pPr>
            <w:r>
              <w:rPr>
                <w:sz w:val="18"/>
              </w:rPr>
              <w:t>Educational License / INTACH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