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50. Master Source Database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Authoritative Source Registry (SHK-S001 to SHK-S060)</w:t>
      </w:r>
    </w:p>
    <w:p>
      <w:pPr>
        <w:spacing w:after="120" w:line="276" w:lineRule="auto"/>
      </w:pPr>
      <w:r>
        <w:rPr>
          <w:i w:val="0"/>
        </w:rPr>
        <w:t>Master table of all Tier 1–4 primary and secondary sources referenced across the 54 research documents: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Source ID</w:t>
            </w:r>
          </w:p>
        </w:tc>
        <w:tc>
          <w:tcPr>
            <w:tcW w:type="dxa" w:w="360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Source Title / Publication</w:t>
            </w:r>
          </w:p>
        </w:tc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Organization / Author</w:t>
            </w:r>
          </w:p>
        </w:tc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Reliability Level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SHK-S001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INTACH Architectural Survey of Shekhawati Havelis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INTACH Delhi &amp; Jaipur Chapters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Institutional Report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TIER 1 — HIGH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SHK-S002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Annals and Antiquities of Rajast'han (Vol. II)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James Tod / Oxford Univ Press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Historical Reference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TIER 2 — HIGH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SHK-S003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Archaeological Reports on Ganeshwar-Jodhpura Culture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Archaeological Survey of India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Govt Publication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TIER 1 — HIGH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SHK-S004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The Painted Walls of Shekhawati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Ilay Cooper / Mapin Publishing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Academic Monograph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TIER 2 — HIGH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SHK-S005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Rajasthan State Gazetteer — Sikar &amp; Jhunjhunu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Government of Rajasthan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Government Gazette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TIER 1 — HIGH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SHK-S006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The Marwaris: From Traders to Industrialists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Thomas A. Timberg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Academic Book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TIER 2 — HIGH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SHK-S007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Dying Wisdom: Rise &amp; Fall of India's Water Systems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CSE (Centre for Science &amp; Env)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Research Monograph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TIER 2 — HIGH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SHK-S008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Folk Deities &amp; Religious Traditions of Rajasthan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Rajasthan Sahitya Akademi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Academic Research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TIER 2 — HIGH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SHK-S009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Traditional Culinary Systems of Arid Rajasthan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ICAR-CAZRI Jodhpur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Scientific Publication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TIER 1 — HIGH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