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52. Missing Information and Research Gaps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Identified Knowledge Gaps for Future Research</w:t>
      </w:r>
    </w:p>
    <w:p>
      <w:pPr>
        <w:spacing w:after="120" w:line="276" w:lineRule="auto"/>
      </w:pPr>
      <w:r>
        <w:rPr>
          <w:i w:val="0"/>
        </w:rPr>
        <w:t>Comprehensive audit of areas requiring further archival or field investigation: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Unmapped Interior Frescoes: </w:t>
      </w:r>
      <w:r>
        <w:t>Hundreds of privately owned, locked havelis in smaller villages (e.g., Bissau, Malsisar) remain unphotographed and uncatalogued.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Artisan Biographies: </w:t>
      </w:r>
      <w:r>
        <w:t>Lack of recorded biographies for 19th-century master Cheteras (fresco painters), who rarely signed their wall murals.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Hydrological Documentation: </w:t>
      </w:r>
      <w:r>
        <w:t>Many village Johads and Baoris lack precise GPS coordinates and hydrological discharge measurements.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