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53. Field Research Recommendations &amp; Guidelines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Ethical Fieldwork Protocol &amp; Interview Framework</w:t>
      </w:r>
    </w:p>
    <w:p>
      <w:pPr>
        <w:spacing w:after="120" w:line="276" w:lineRule="auto"/>
      </w:pPr>
      <w:r>
        <w:rPr>
          <w:i w:val="0"/>
        </w:rPr>
        <w:t>Actionable guidelines for future field research teams conducting physical surveys in Shekhawati: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Informed Consent &amp; Attribution: </w:t>
      </w:r>
      <w:r>
        <w:t>Obtain written or verbal informed consent from haveli owners, temple priests, and local artisans before audio recording or filming interviews.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Chetera Artisan Interview Protocol: </w:t>
      </w:r>
      <w:r>
        <w:t>Standardized 15-question interview guide covering plaster preparation, pigment sourcing, apprenticeship history, and conservation challenges.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Community Respect &amp; Privacy: </w:t>
      </w:r>
      <w:r>
        <w:t>Respect family privacy in Zenana courtyards; avoid intrusive photography in active residential quarters.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