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Georgia" w:hAnsi="Georgia"/>
          <w:b/>
          <w:color w:val="194B37"/>
          <w:sz w:val="42"/>
        </w:rPr>
        <w:t>01: UNAKOTI — IDENTITY, ETYMOLOGY &amp; COMPREHENSIVE OVERVIEW</w:t>
      </w:r>
    </w:p>
    <w:p>
      <w:pPr>
        <w:spacing w:before="0" w:after="240"/>
      </w:pPr>
      <w:r>
        <w:rPr>
          <w:rFonts w:ascii="Georgia" w:hAnsi="Georgia"/>
          <w:i/>
          <w:color w:val="505F55"/>
          <w:sz w:val="24"/>
        </w:rPr>
        <w:t>Foundational Identity, Multi-Scale Geographic Scope, and Tier-1 Cultural Profile</w:t>
      </w:r>
    </w:p>
    <w:tbl>
      <w:tblPr>
        <w:tblW w:type="auto" w:w="0"/>
        <w:jc w:val="center"/>
        <w:tblLook w:firstColumn="1" w:firstRow="1" w:lastColumn="0" w:lastRow="0" w:noHBand="0" w:noVBand="1" w:val="04A0"/>
      </w:tblPr>
      <w:tblGrid>
        <w:gridCol w:w="4968"/>
        <w:gridCol w:w="4968"/>
      </w:tblGrid>
      <w:tr>
        <w:tc>
          <w:tcPr>
            <w:tcW w:type="dxa" w:w="2592"/>
            <w:shd w:fill="E8F2EC"/>
            <w:tcMar>
              <w:top w:w="60" w:type="dxa"/>
              <w:bottom w:w="60" w:type="dxa"/>
              <w:left w:w="100" w:type="dxa"/>
              <w:right w:w="100" w:type="dxa"/>
            </w:tcMar>
          </w:tcPr>
          <w:p>
            <w:pPr>
              <w:spacing w:after="0"/>
            </w:pPr>
            <w:r>
              <w:rPr>
                <w:b/>
                <w:color w:val="143C28"/>
                <w:sz w:val="19"/>
              </w:rPr>
              <w:t>Project:</w:t>
            </w:r>
          </w:p>
        </w:tc>
        <w:tc>
          <w:tcPr>
            <w:tcW w:type="dxa" w:w="7200"/>
            <w:shd w:fill="F5FAF7"/>
            <w:tcMar>
              <w:top w:w="60" w:type="dxa"/>
              <w:bottom w:w="60" w:type="dxa"/>
              <w:left w:w="100" w:type="dxa"/>
              <w:right w:w="100" w:type="dxa"/>
            </w:tcMar>
          </w:tcPr>
          <w:p>
            <w:pPr>
              <w:spacing w:after="0"/>
            </w:pPr>
            <w:r>
              <w:rPr>
                <w:color w:val="323232"/>
                <w:sz w:val="19"/>
              </w:rPr>
              <w:t>Antigravity Indian Cultural Heritage Knowledge Platform (Unakoti, Tripura)</w:t>
            </w:r>
          </w:p>
        </w:tc>
      </w:tr>
      <w:tr>
        <w:tc>
          <w:tcPr>
            <w:tcW w:type="dxa" w:w="2592"/>
            <w:shd w:fill="E8F2EC"/>
            <w:tcMar>
              <w:top w:w="60" w:type="dxa"/>
              <w:bottom w:w="60" w:type="dxa"/>
              <w:left w:w="100" w:type="dxa"/>
              <w:right w:w="100" w:type="dxa"/>
            </w:tcMar>
          </w:tcPr>
          <w:p>
            <w:pPr>
              <w:spacing w:after="0"/>
            </w:pPr>
            <w:r>
              <w:rPr>
                <w:b/>
                <w:color w:val="143C28"/>
                <w:sz w:val="19"/>
              </w:rPr>
              <w:t>Research Team:</w:t>
            </w:r>
          </w:p>
        </w:tc>
        <w:tc>
          <w:tcPr>
            <w:tcW w:type="dxa" w:w="7200"/>
            <w:shd w:fill="F5FAF7"/>
            <w:tcMar>
              <w:top w:w="60" w:type="dxa"/>
              <w:bottom w:w="60" w:type="dxa"/>
              <w:left w:w="100" w:type="dxa"/>
              <w:right w:w="100" w:type="dxa"/>
            </w:tcMar>
          </w:tcPr>
          <w:p>
            <w:pPr>
              <w:spacing w:after="0"/>
            </w:pPr>
            <w:r>
              <w:rPr>
                <w:color w:val="323232"/>
                <w:sz w:val="19"/>
              </w:rPr>
              <w:t>Historians, Epigraphists, Rock-Art Specialists, Indigenous Anthropologists, Conservationists</w:t>
            </w:r>
          </w:p>
        </w:tc>
      </w:tr>
      <w:tr>
        <w:tc>
          <w:tcPr>
            <w:tcW w:type="dxa" w:w="2592"/>
            <w:shd w:fill="E8F2EC"/>
            <w:tcMar>
              <w:top w:w="60" w:type="dxa"/>
              <w:bottom w:w="60" w:type="dxa"/>
              <w:left w:w="100" w:type="dxa"/>
              <w:right w:w="100" w:type="dxa"/>
            </w:tcMar>
          </w:tcPr>
          <w:p>
            <w:pPr>
              <w:spacing w:after="0"/>
            </w:pPr>
            <w:r>
              <w:rPr>
                <w:b/>
                <w:color w:val="143C28"/>
                <w:sz w:val="19"/>
              </w:rPr>
              <w:t>Source Hierarchy:</w:t>
            </w:r>
          </w:p>
        </w:tc>
        <w:tc>
          <w:tcPr>
            <w:tcW w:type="dxa" w:w="7200"/>
            <w:shd w:fill="F5FAF7"/>
            <w:tcMar>
              <w:top w:w="60" w:type="dxa"/>
              <w:bottom w:w="60" w:type="dxa"/>
              <w:left w:w="100" w:type="dxa"/>
              <w:right w:w="100" w:type="dxa"/>
            </w:tcMar>
          </w:tcPr>
          <w:p>
            <w:pPr>
              <w:spacing w:after="0"/>
            </w:pPr>
            <w:r>
              <w:rPr>
                <w:color w:val="323232"/>
                <w:sz w:val="19"/>
              </w:rPr>
              <w:t>Tier 1 (UNESCO Tentative Dossier, ASI, State Archaeology) &amp; Tier 2 (Academic Monographs)</w:t>
            </w:r>
          </w:p>
        </w:tc>
      </w:tr>
      <w:tr>
        <w:tc>
          <w:tcPr>
            <w:tcW w:type="dxa" w:w="2592"/>
            <w:shd w:fill="E8F2EC"/>
            <w:tcMar>
              <w:top w:w="60" w:type="dxa"/>
              <w:bottom w:w="60" w:type="dxa"/>
              <w:left w:w="100" w:type="dxa"/>
              <w:right w:w="100" w:type="dxa"/>
            </w:tcMar>
          </w:tcPr>
          <w:p>
            <w:pPr>
              <w:spacing w:after="0"/>
            </w:pPr>
            <w:r>
              <w:rPr>
                <w:b/>
                <w:color w:val="143C28"/>
                <w:sz w:val="19"/>
              </w:rPr>
              <w:t>Geographical Context:</w:t>
            </w:r>
          </w:p>
        </w:tc>
        <w:tc>
          <w:tcPr>
            <w:tcW w:type="dxa" w:w="7200"/>
            <w:shd w:fill="F5FAF7"/>
            <w:tcMar>
              <w:top w:w="60" w:type="dxa"/>
              <w:bottom w:w="60" w:type="dxa"/>
              <w:left w:w="100" w:type="dxa"/>
              <w:right w:w="100" w:type="dxa"/>
            </w:tcMar>
          </w:tcPr>
          <w:p>
            <w:pPr>
              <w:spacing w:after="0"/>
            </w:pPr>
            <w:r>
              <w:rPr>
                <w:color w:val="323232"/>
                <w:sz w:val="19"/>
              </w:rPr>
              <w:t>Unakoti Rock-Cut Site, Kailashahar Sub-Division, Unakoti District, Tripura (Northeast India)</w:t>
            </w:r>
          </w:p>
        </w:tc>
      </w:tr>
    </w:tbl>
    <w:p>
      <w:pPr>
        <w:spacing w:after="160"/>
      </w:pPr>
    </w:p>
    <w:p>
      <w:pPr>
        <w:keepNext/>
        <w:spacing w:before="280" w:after="80"/>
      </w:pPr>
      <w:r>
        <w:rPr>
          <w:rFonts w:ascii="Georgia" w:hAnsi="Georgia"/>
          <w:b/>
          <w:color w:val="194B37"/>
          <w:sz w:val="30"/>
        </w:rPr>
        <w:t>1. Basic Identity &amp; Epistemic Taxonomy</w:t>
      </w:r>
    </w:p>
    <w:p>
      <w:pPr>
        <w:spacing w:after="100" w:line="276" w:lineRule="auto"/>
      </w:pPr>
      <w:r>
        <w:t>Unakoti (Bengali: ঊনকোটি, Kokborok: Subrai Khung), literally translating to 'one less than a crore' (99,99,999 in classical Indian numeration), is a monumental ancient open-air Shaivite rock-cut pilgrimage sanctuary located in the Raghunandan Hills of northeastern Tripura, India.</w:t>
      </w:r>
    </w:p>
    <w:tbl>
      <w:tblPr>
        <w:tblW w:type="auto" w:w="0"/>
        <w:jc w:val="center"/>
        <w:tblLook w:firstColumn="1" w:firstRow="1" w:lastColumn="0" w:lastRow="0" w:noHBand="0" w:noVBand="1" w:val="04A0"/>
      </w:tblPr>
      <w:tblGrid>
        <w:gridCol w:w="9936"/>
      </w:tblGrid>
      <w:tr>
        <w:tc>
          <w:tcPr>
            <w:tcW w:type="dxa" w:w="9792"/>
            <w:shd w:fill="F0F7F3"/>
            <w:tcMar>
              <w:top w:w="120" w:type="dxa"/>
              <w:bottom w:w="120" w:type="dxa"/>
              <w:left w:w="180" w:type="dxa"/>
              <w:right w:w="180" w:type="dxa"/>
            </w:tcMar>
            <w:tcBorders>
              <w:top w:val="none" w:sz="0" w:space="0" w:color="auto"/>
              <w:left w:val="single" w:sz="24" w:space="0" w:color="2D7A55"/>
              <w:bottom w:val="none" w:sz="0" w:space="0" w:color="auto"/>
              <w:right w:val="none" w:sz="0" w:space="0" w:color="auto"/>
            </w:tcBorders>
          </w:tcPr>
          <w:p>
            <w:pPr>
              <w:spacing w:after="60"/>
            </w:pPr>
            <w:r>
              <w:rPr>
                <w:b/>
                <w:color w:val="195037"/>
                <w:sz w:val="19"/>
              </w:rPr>
              <w:t>[TAXONOMY &amp; FACT/MYTHOLOGY DISTINCTION]</w:t>
              <w:br/>
            </w:r>
            <w:r>
              <w:rPr>
                <w:color w:val="28372D"/>
                <w:sz w:val="20"/>
              </w:rPr>
              <w:t>FACT VS LEGEND CLASSIFICATION:</w:t>
              <w:br/>
              <w:t>• ETYMOLOGICAL &amp; HISTORICAL FACT: The word 'Unakoti' derives from Sanskrit/Bengali 'Una' (less by one) + 'Koti' (ten million / one crore). In Kokborok (the native Tibeto-Burman language of the Tripuri peoples), the site is traditionally revered as 'Subrai Khung', referring to Lord Shiva (Subrai).</w:t>
              <w:br/>
              <w:t>• MYTHOLOGICAL TRADITION: According to pervasive pan-Indian regional folklore, Lord Shiva was traveling with one crore (10,000,000) Hindu deities toward Kashi (Varanasi). Stopping at this forested hill for the night, Shiva commanded all gods to wake before sunrise. When only Shiva awakened at dawn, he cursed the remaining 99,99,999 sleeping deities to turn into stone images forever.</w:t>
              <w:br/>
              <w:t>• ARCHAEOLOGICAL &amp; ART-HISTORICAL FACT: The rock-reliefs and freestanding sandstone sculptures were carved between the 7th–9th and 11th–12th centuries CE, representing a unique stylistic synthesis of classical Hindu Agamic iconography with indigenous tribal art forms.</w:t>
            </w:r>
          </w:p>
        </w:tc>
      </w:tr>
    </w:tbl>
    <w:p>
      <w:pPr>
        <w:spacing w:after="80"/>
      </w:pPr>
    </w:p>
    <w:p>
      <w:pPr>
        <w:keepNext/>
        <w:spacing w:before="200" w:after="60"/>
      </w:pPr>
      <w:r>
        <w:rPr>
          <w:rFonts w:ascii="Georgia" w:hAnsi="Georgia"/>
          <w:b/>
          <w:color w:val="2D4132"/>
          <w:sz w:val="25"/>
        </w:rPr>
        <w:t>Key Identity Matrix</w:t>
      </w:r>
    </w:p>
    <w:tbl>
      <w:tblPr>
        <w:tblW w:type="auto" w:w="0"/>
        <w:jc w:val="center"/>
        <w:tblLook w:firstColumn="1" w:firstRow="1" w:lastColumn="0" w:lastRow="0" w:noHBand="0" w:noVBand="1" w:val="04A0"/>
      </w:tblPr>
      <w:tblGrid>
        <w:gridCol w:w="3312"/>
        <w:gridCol w:w="3312"/>
        <w:gridCol w:w="3312"/>
      </w:tblGrid>
      <w:tr>
        <w:tc>
          <w:tcPr>
            <w:tcW w:type="dxa" w:w="2592"/>
            <w:shd w:fill="1E523C"/>
            <w:tcMar>
              <w:top w:w="100" w:type="dxa"/>
              <w:bottom w:w="100" w:type="dxa"/>
              <w:left w:w="120" w:type="dxa"/>
              <w:right w:w="120" w:type="dxa"/>
            </w:tcMar>
          </w:tcPr>
          <w:p>
            <w:pPr>
              <w:spacing w:after="0"/>
            </w:pPr>
            <w:r>
              <w:rPr>
                <w:b/>
                <w:color w:val="FFFFFF"/>
                <w:sz w:val="19"/>
              </w:rPr>
              <w:t>Identity Attribute</w:t>
            </w:r>
          </w:p>
        </w:tc>
        <w:tc>
          <w:tcPr>
            <w:tcW w:type="dxa" w:w="3600"/>
            <w:shd w:fill="1E523C"/>
            <w:tcMar>
              <w:top w:w="100" w:type="dxa"/>
              <w:bottom w:w="100" w:type="dxa"/>
              <w:left w:w="120" w:type="dxa"/>
              <w:right w:w="120" w:type="dxa"/>
            </w:tcMar>
          </w:tcPr>
          <w:p>
            <w:pPr>
              <w:spacing w:after="0"/>
            </w:pPr>
            <w:r>
              <w:rPr>
                <w:b/>
                <w:color w:val="FFFFFF"/>
                <w:sz w:val="19"/>
              </w:rPr>
              <w:t>Official Specification</w:t>
            </w:r>
          </w:p>
        </w:tc>
        <w:tc>
          <w:tcPr>
            <w:tcW w:type="dxa" w:w="3888"/>
            <w:shd w:fill="1E523C"/>
            <w:tcMar>
              <w:top w:w="100" w:type="dxa"/>
              <w:bottom w:w="100" w:type="dxa"/>
              <w:left w:w="120" w:type="dxa"/>
              <w:right w:w="120" w:type="dxa"/>
            </w:tcMar>
          </w:tcPr>
          <w:p>
            <w:pPr>
              <w:spacing w:after="0"/>
            </w:pPr>
            <w:r>
              <w:rPr>
                <w:b/>
                <w:color w:val="FFFFFF"/>
                <w:sz w:val="19"/>
              </w:rPr>
              <w:t>Historical &amp; Administrative Details</w:t>
            </w:r>
          </w:p>
        </w:tc>
      </w:tr>
      <w:tr>
        <w:tc>
          <w:tcPr>
            <w:tcW w:type="dxa" w:w="2592"/>
            <w:shd w:fill="F4F9F6"/>
            <w:tcMar>
              <w:top w:w="80" w:type="dxa"/>
              <w:bottom w:w="80" w:type="dxa"/>
              <w:left w:w="100" w:type="dxa"/>
              <w:right w:w="100" w:type="dxa"/>
            </w:tcMar>
          </w:tcPr>
          <w:p>
            <w:pPr>
              <w:spacing w:after="0"/>
            </w:pPr>
            <w:r>
              <w:rPr>
                <w:color w:val="282828"/>
                <w:sz w:val="18"/>
              </w:rPr>
              <w:t>Official Modern Name</w:t>
            </w:r>
          </w:p>
        </w:tc>
        <w:tc>
          <w:tcPr>
            <w:tcW w:type="dxa" w:w="3600"/>
            <w:shd w:fill="F4F9F6"/>
            <w:tcMar>
              <w:top w:w="80" w:type="dxa"/>
              <w:bottom w:w="80" w:type="dxa"/>
              <w:left w:w="100" w:type="dxa"/>
              <w:right w:w="100" w:type="dxa"/>
            </w:tcMar>
          </w:tcPr>
          <w:p>
            <w:pPr>
              <w:spacing w:after="0"/>
            </w:pPr>
            <w:r>
              <w:rPr>
                <w:color w:val="282828"/>
                <w:sz w:val="18"/>
              </w:rPr>
              <w:t>Unakoti (Centrally Protected Monument)</w:t>
            </w:r>
          </w:p>
        </w:tc>
        <w:tc>
          <w:tcPr>
            <w:tcW w:type="dxa" w:w="3888"/>
            <w:shd w:fill="F4F9F6"/>
            <w:tcMar>
              <w:top w:w="80" w:type="dxa"/>
              <w:bottom w:w="80" w:type="dxa"/>
              <w:left w:w="100" w:type="dxa"/>
              <w:right w:w="100" w:type="dxa"/>
            </w:tcMar>
          </w:tcPr>
          <w:p>
            <w:pPr>
              <w:spacing w:after="0"/>
            </w:pPr>
            <w:r>
              <w:rPr>
                <w:color w:val="282828"/>
                <w:sz w:val="18"/>
              </w:rPr>
              <w:t>Kokborok traditional name: Subrai Khung</w:t>
            </w:r>
          </w:p>
        </w:tc>
      </w:tr>
      <w:tr>
        <w:tc>
          <w:tcPr>
            <w:tcW w:type="dxa" w:w="2592"/>
            <w:shd w:fill="FFFFFF"/>
            <w:tcMar>
              <w:top w:w="80" w:type="dxa"/>
              <w:bottom w:w="80" w:type="dxa"/>
              <w:left w:w="100" w:type="dxa"/>
              <w:right w:w="100" w:type="dxa"/>
            </w:tcMar>
          </w:tcPr>
          <w:p>
            <w:pPr>
              <w:spacing w:after="0"/>
            </w:pPr>
            <w:r>
              <w:rPr>
                <w:color w:val="282828"/>
                <w:sz w:val="18"/>
              </w:rPr>
              <w:t>Literal Meaning</w:t>
            </w:r>
          </w:p>
        </w:tc>
        <w:tc>
          <w:tcPr>
            <w:tcW w:type="dxa" w:w="3600"/>
            <w:shd w:fill="FFFFFF"/>
            <w:tcMar>
              <w:top w:w="80" w:type="dxa"/>
              <w:bottom w:w="80" w:type="dxa"/>
              <w:left w:w="100" w:type="dxa"/>
              <w:right w:w="100" w:type="dxa"/>
            </w:tcMar>
          </w:tcPr>
          <w:p>
            <w:pPr>
              <w:spacing w:after="0"/>
            </w:pPr>
            <w:r>
              <w:rPr>
                <w:color w:val="282828"/>
                <w:sz w:val="18"/>
              </w:rPr>
              <w:t>One Less Than a Crore (99,99,999)</w:t>
            </w:r>
          </w:p>
        </w:tc>
        <w:tc>
          <w:tcPr>
            <w:tcW w:type="dxa" w:w="3888"/>
            <w:shd w:fill="FFFFFF"/>
            <w:tcMar>
              <w:top w:w="80" w:type="dxa"/>
              <w:bottom w:w="80" w:type="dxa"/>
              <w:left w:w="100" w:type="dxa"/>
              <w:right w:w="100" w:type="dxa"/>
            </w:tcMar>
          </w:tcPr>
          <w:p>
            <w:pPr>
              <w:spacing w:after="0"/>
            </w:pPr>
            <w:r>
              <w:rPr>
                <w:color w:val="282828"/>
                <w:sz w:val="18"/>
              </w:rPr>
              <w:t>Derived from Una (one less) + Koti (crore)</w:t>
            </w:r>
          </w:p>
        </w:tc>
      </w:tr>
      <w:tr>
        <w:tc>
          <w:tcPr>
            <w:tcW w:type="dxa" w:w="2592"/>
            <w:shd w:fill="F4F9F6"/>
            <w:tcMar>
              <w:top w:w="80" w:type="dxa"/>
              <w:bottom w:w="80" w:type="dxa"/>
              <w:left w:w="100" w:type="dxa"/>
              <w:right w:w="100" w:type="dxa"/>
            </w:tcMar>
          </w:tcPr>
          <w:p>
            <w:pPr>
              <w:spacing w:after="0"/>
            </w:pPr>
            <w:r>
              <w:rPr>
                <w:color w:val="282828"/>
                <w:sz w:val="18"/>
              </w:rPr>
              <w:t>Geographical Coordinates</w:t>
            </w:r>
          </w:p>
        </w:tc>
        <w:tc>
          <w:tcPr>
            <w:tcW w:type="dxa" w:w="3600"/>
            <w:shd w:fill="F4F9F6"/>
            <w:tcMar>
              <w:top w:w="80" w:type="dxa"/>
              <w:bottom w:w="80" w:type="dxa"/>
              <w:left w:w="100" w:type="dxa"/>
              <w:right w:w="100" w:type="dxa"/>
            </w:tcMar>
          </w:tcPr>
          <w:p>
            <w:pPr>
              <w:spacing w:after="0"/>
            </w:pPr>
            <w:r>
              <w:rPr>
                <w:color w:val="282828"/>
                <w:sz w:val="18"/>
              </w:rPr>
              <w:t>24° 19' 12" N, 92° 03' 00" E</w:t>
            </w:r>
          </w:p>
        </w:tc>
        <w:tc>
          <w:tcPr>
            <w:tcW w:type="dxa" w:w="3888"/>
            <w:shd w:fill="F4F9F6"/>
            <w:tcMar>
              <w:top w:w="80" w:type="dxa"/>
              <w:bottom w:w="80" w:type="dxa"/>
              <w:left w:w="100" w:type="dxa"/>
              <w:right w:w="100" w:type="dxa"/>
            </w:tcMar>
          </w:tcPr>
          <w:p>
            <w:pPr>
              <w:spacing w:after="0"/>
            </w:pPr>
            <w:r>
              <w:rPr>
                <w:color w:val="282828"/>
                <w:sz w:val="18"/>
              </w:rPr>
              <w:t>Raghunandan Hills, North-Eastern Tripura</w:t>
            </w:r>
          </w:p>
        </w:tc>
      </w:tr>
      <w:tr>
        <w:tc>
          <w:tcPr>
            <w:tcW w:type="dxa" w:w="2592"/>
            <w:shd w:fill="FFFFFF"/>
            <w:tcMar>
              <w:top w:w="80" w:type="dxa"/>
              <w:bottom w:w="80" w:type="dxa"/>
              <w:left w:w="100" w:type="dxa"/>
              <w:right w:w="100" w:type="dxa"/>
            </w:tcMar>
          </w:tcPr>
          <w:p>
            <w:pPr>
              <w:spacing w:after="0"/>
            </w:pPr>
            <w:r>
              <w:rPr>
                <w:color w:val="282828"/>
                <w:sz w:val="18"/>
              </w:rPr>
              <w:t>Administrative Location</w:t>
            </w:r>
          </w:p>
        </w:tc>
        <w:tc>
          <w:tcPr>
            <w:tcW w:type="dxa" w:w="3600"/>
            <w:shd w:fill="FFFFFF"/>
            <w:tcMar>
              <w:top w:w="80" w:type="dxa"/>
              <w:bottom w:w="80" w:type="dxa"/>
              <w:left w:w="100" w:type="dxa"/>
              <w:right w:w="100" w:type="dxa"/>
            </w:tcMar>
          </w:tcPr>
          <w:p>
            <w:pPr>
              <w:spacing w:after="0"/>
            </w:pPr>
            <w:r>
              <w:rPr>
                <w:color w:val="282828"/>
                <w:sz w:val="18"/>
              </w:rPr>
              <w:t>Unakoti District, Tripura, India</w:t>
            </w:r>
          </w:p>
        </w:tc>
        <w:tc>
          <w:tcPr>
            <w:tcW w:type="dxa" w:w="3888"/>
            <w:shd w:fill="FFFFFF"/>
            <w:tcMar>
              <w:top w:w="80" w:type="dxa"/>
              <w:bottom w:w="80" w:type="dxa"/>
              <w:left w:w="100" w:type="dxa"/>
              <w:right w:w="100" w:type="dxa"/>
            </w:tcMar>
          </w:tcPr>
          <w:p>
            <w:pPr>
              <w:spacing w:after="0"/>
            </w:pPr>
            <w:r>
              <w:rPr>
                <w:color w:val="282828"/>
                <w:sz w:val="18"/>
              </w:rPr>
              <w:t>Sub-Division: Kailashahar (approx. 8 km from district headquarters)</w:t>
            </w:r>
          </w:p>
        </w:tc>
      </w:tr>
      <w:tr>
        <w:tc>
          <w:tcPr>
            <w:tcW w:type="dxa" w:w="2592"/>
            <w:shd w:fill="F4F9F6"/>
            <w:tcMar>
              <w:top w:w="80" w:type="dxa"/>
              <w:bottom w:w="80" w:type="dxa"/>
              <w:left w:w="100" w:type="dxa"/>
              <w:right w:w="100" w:type="dxa"/>
            </w:tcMar>
          </w:tcPr>
          <w:p>
            <w:pPr>
              <w:spacing w:after="0"/>
            </w:pPr>
            <w:r>
              <w:rPr>
                <w:color w:val="282828"/>
                <w:sz w:val="18"/>
              </w:rPr>
              <w:t>Distance from State Capital</w:t>
            </w:r>
          </w:p>
        </w:tc>
        <w:tc>
          <w:tcPr>
            <w:tcW w:type="dxa" w:w="3600"/>
            <w:shd w:fill="F4F9F6"/>
            <w:tcMar>
              <w:top w:w="80" w:type="dxa"/>
              <w:bottom w:w="80" w:type="dxa"/>
              <w:left w:w="100" w:type="dxa"/>
              <w:right w:w="100" w:type="dxa"/>
            </w:tcMar>
          </w:tcPr>
          <w:p>
            <w:pPr>
              <w:spacing w:after="0"/>
            </w:pPr>
            <w:r>
              <w:rPr>
                <w:color w:val="282828"/>
                <w:sz w:val="18"/>
              </w:rPr>
              <w:t>178 km Northeast of Agartala</w:t>
            </w:r>
          </w:p>
        </w:tc>
        <w:tc>
          <w:tcPr>
            <w:tcW w:type="dxa" w:w="3888"/>
            <w:shd w:fill="F4F9F6"/>
            <w:tcMar>
              <w:top w:w="80" w:type="dxa"/>
              <w:bottom w:w="80" w:type="dxa"/>
              <w:left w:w="100" w:type="dxa"/>
              <w:right w:w="100" w:type="dxa"/>
            </w:tcMar>
          </w:tcPr>
          <w:p>
            <w:pPr>
              <w:spacing w:after="0"/>
            </w:pPr>
            <w:r>
              <w:rPr>
                <w:color w:val="282828"/>
                <w:sz w:val="18"/>
              </w:rPr>
              <w:t>Accessible via NH-8 and NH-208</w:t>
            </w:r>
          </w:p>
        </w:tc>
      </w:tr>
      <w:tr>
        <w:tc>
          <w:tcPr>
            <w:tcW w:type="dxa" w:w="2592"/>
            <w:shd w:fill="FFFFFF"/>
            <w:tcMar>
              <w:top w:w="80" w:type="dxa"/>
              <w:bottom w:w="80" w:type="dxa"/>
              <w:left w:w="100" w:type="dxa"/>
              <w:right w:w="100" w:type="dxa"/>
            </w:tcMar>
          </w:tcPr>
          <w:p>
            <w:pPr>
              <w:spacing w:after="0"/>
            </w:pPr>
            <w:r>
              <w:rPr>
                <w:color w:val="282828"/>
                <w:sz w:val="18"/>
              </w:rPr>
              <w:t>Archaeological Protection</w:t>
            </w:r>
          </w:p>
        </w:tc>
        <w:tc>
          <w:tcPr>
            <w:tcW w:type="dxa" w:w="3600"/>
            <w:shd w:fill="FFFFFF"/>
            <w:tcMar>
              <w:top w:w="80" w:type="dxa"/>
              <w:bottom w:w="80" w:type="dxa"/>
              <w:left w:w="100" w:type="dxa"/>
              <w:right w:w="100" w:type="dxa"/>
            </w:tcMar>
          </w:tcPr>
          <w:p>
            <w:pPr>
              <w:spacing w:after="0"/>
            </w:pPr>
            <w:r>
              <w:rPr>
                <w:color w:val="282828"/>
                <w:sz w:val="18"/>
              </w:rPr>
              <w:t>Archaeological Survey of India (ASI)</w:t>
            </w:r>
          </w:p>
        </w:tc>
        <w:tc>
          <w:tcPr>
            <w:tcW w:type="dxa" w:w="3888"/>
            <w:shd w:fill="FFFFFF"/>
            <w:tcMar>
              <w:top w:w="80" w:type="dxa"/>
              <w:bottom w:w="80" w:type="dxa"/>
              <w:left w:w="100" w:type="dxa"/>
              <w:right w:w="100" w:type="dxa"/>
            </w:tcMar>
          </w:tcPr>
          <w:p>
            <w:pPr>
              <w:spacing w:after="0"/>
            </w:pPr>
            <w:r>
              <w:rPr>
                <w:color w:val="282828"/>
                <w:sz w:val="18"/>
              </w:rPr>
              <w:t>Centrally Protected Monument under AMASR Act 1958 (Aizawl/Guwahati Circle)</w:t>
            </w:r>
          </w:p>
        </w:tc>
      </w:tr>
      <w:tr>
        <w:tc>
          <w:tcPr>
            <w:tcW w:type="dxa" w:w="2592"/>
            <w:shd w:fill="F4F9F6"/>
            <w:tcMar>
              <w:top w:w="80" w:type="dxa"/>
              <w:bottom w:w="80" w:type="dxa"/>
              <w:left w:w="100" w:type="dxa"/>
              <w:right w:w="100" w:type="dxa"/>
            </w:tcMar>
          </w:tcPr>
          <w:p>
            <w:pPr>
              <w:spacing w:after="0"/>
            </w:pPr>
            <w:r>
              <w:rPr>
                <w:color w:val="282828"/>
                <w:sz w:val="18"/>
              </w:rPr>
              <w:t>UNESCO Heritage Status</w:t>
            </w:r>
          </w:p>
        </w:tc>
        <w:tc>
          <w:tcPr>
            <w:tcW w:type="dxa" w:w="3600"/>
            <w:shd w:fill="F4F9F6"/>
            <w:tcMar>
              <w:top w:w="80" w:type="dxa"/>
              <w:bottom w:w="80" w:type="dxa"/>
              <w:left w:w="100" w:type="dxa"/>
              <w:right w:w="100" w:type="dxa"/>
            </w:tcMar>
          </w:tcPr>
          <w:p>
            <w:pPr>
              <w:spacing w:after="0"/>
            </w:pPr>
            <w:r>
              <w:rPr>
                <w:color w:val="282828"/>
                <w:sz w:val="18"/>
              </w:rPr>
              <w:t>UNESCO Tentative List (Inscribed Dec 2022)</w:t>
            </w:r>
          </w:p>
        </w:tc>
        <w:tc>
          <w:tcPr>
            <w:tcW w:type="dxa" w:w="3888"/>
            <w:shd w:fill="F4F9F6"/>
            <w:tcMar>
              <w:top w:w="80" w:type="dxa"/>
              <w:bottom w:w="80" w:type="dxa"/>
              <w:left w:w="100" w:type="dxa"/>
              <w:right w:w="100" w:type="dxa"/>
            </w:tcMar>
          </w:tcPr>
          <w:p>
            <w:pPr>
              <w:spacing w:after="0"/>
            </w:pPr>
            <w:r>
              <w:rPr>
                <w:color w:val="282828"/>
                <w:sz w:val="18"/>
              </w:rPr>
              <w:t>Tentative List Ref: 6627 ('Rock-cut Relief Sculptures of Unakoti')</w:t>
            </w:r>
          </w:p>
        </w:tc>
      </w:tr>
      <w:tr>
        <w:tc>
          <w:tcPr>
            <w:tcW w:type="dxa" w:w="2592"/>
            <w:shd w:fill="FFFFFF"/>
            <w:tcMar>
              <w:top w:w="80" w:type="dxa"/>
              <w:bottom w:w="80" w:type="dxa"/>
              <w:left w:w="100" w:type="dxa"/>
              <w:right w:w="100" w:type="dxa"/>
            </w:tcMar>
          </w:tcPr>
          <w:p>
            <w:pPr>
              <w:spacing w:after="0"/>
            </w:pPr>
            <w:r>
              <w:rPr>
                <w:color w:val="282828"/>
                <w:sz w:val="18"/>
              </w:rPr>
              <w:t>Primary Religious Dedication</w:t>
            </w:r>
          </w:p>
        </w:tc>
        <w:tc>
          <w:tcPr>
            <w:tcW w:type="dxa" w:w="3600"/>
            <w:shd w:fill="FFFFFF"/>
            <w:tcMar>
              <w:top w:w="80" w:type="dxa"/>
              <w:bottom w:w="80" w:type="dxa"/>
              <w:left w:w="100" w:type="dxa"/>
              <w:right w:w="100" w:type="dxa"/>
            </w:tcMar>
          </w:tcPr>
          <w:p>
            <w:pPr>
              <w:spacing w:after="0"/>
            </w:pPr>
            <w:r>
              <w:rPr>
                <w:color w:val="282828"/>
                <w:sz w:val="18"/>
              </w:rPr>
              <w:t>Shaivism (Lord Shiva / Unakotishwara Kal Bhairava)</w:t>
            </w:r>
          </w:p>
        </w:tc>
        <w:tc>
          <w:tcPr>
            <w:tcW w:type="dxa" w:w="3888"/>
            <w:shd w:fill="FFFFFF"/>
            <w:tcMar>
              <w:top w:w="80" w:type="dxa"/>
              <w:bottom w:w="80" w:type="dxa"/>
              <w:left w:w="100" w:type="dxa"/>
              <w:right w:w="100" w:type="dxa"/>
            </w:tcMar>
          </w:tcPr>
          <w:p>
            <w:pPr>
              <w:spacing w:after="0"/>
            </w:pPr>
            <w:r>
              <w:rPr>
                <w:color w:val="282828"/>
                <w:sz w:val="18"/>
              </w:rPr>
              <w:t>Associated with Shakta, Ganapatya, and local tribal religious syncretism</w:t>
            </w:r>
          </w:p>
        </w:tc>
      </w:tr>
      <w:tr>
        <w:tc>
          <w:tcPr>
            <w:tcW w:type="dxa" w:w="2592"/>
            <w:shd w:fill="F4F9F6"/>
            <w:tcMar>
              <w:top w:w="80" w:type="dxa"/>
              <w:bottom w:w="80" w:type="dxa"/>
              <w:left w:w="100" w:type="dxa"/>
              <w:right w:w="100" w:type="dxa"/>
            </w:tcMar>
          </w:tcPr>
          <w:p>
            <w:pPr>
              <w:spacing w:after="0"/>
            </w:pPr>
            <w:r>
              <w:rPr>
                <w:color w:val="282828"/>
                <w:sz w:val="18"/>
              </w:rPr>
              <w:t>Major Living Festival</w:t>
            </w:r>
          </w:p>
        </w:tc>
        <w:tc>
          <w:tcPr>
            <w:tcW w:type="dxa" w:w="3600"/>
            <w:shd w:fill="F4F9F6"/>
            <w:tcMar>
              <w:top w:w="80" w:type="dxa"/>
              <w:bottom w:w="80" w:type="dxa"/>
              <w:left w:w="100" w:type="dxa"/>
              <w:right w:w="100" w:type="dxa"/>
            </w:tcMar>
          </w:tcPr>
          <w:p>
            <w:pPr>
              <w:spacing w:after="0"/>
            </w:pPr>
            <w:r>
              <w:rPr>
                <w:color w:val="282828"/>
                <w:sz w:val="18"/>
              </w:rPr>
              <w:t>Ashokastami Mela (Chaitra Masa)</w:t>
            </w:r>
          </w:p>
        </w:tc>
        <w:tc>
          <w:tcPr>
            <w:tcW w:type="dxa" w:w="3888"/>
            <w:shd w:fill="F4F9F6"/>
            <w:tcMar>
              <w:top w:w="80" w:type="dxa"/>
              <w:bottom w:w="80" w:type="dxa"/>
              <w:left w:w="100" w:type="dxa"/>
              <w:right w:w="100" w:type="dxa"/>
            </w:tcMar>
          </w:tcPr>
          <w:p>
            <w:pPr>
              <w:spacing w:after="0"/>
            </w:pPr>
            <w:r>
              <w:rPr>
                <w:color w:val="282828"/>
                <w:sz w:val="18"/>
              </w:rPr>
              <w:t>Annual spring pilgrimage festival drawing over 100,000 devotees</w:t>
            </w:r>
          </w:p>
        </w:tc>
      </w:tr>
    </w:tbl>
    <w:p>
      <w:pPr>
        <w:spacing w:after="120"/>
      </w:pPr>
    </w:p>
    <w:p>
      <w:pPr>
        <w:keepNext/>
        <w:spacing w:before="280" w:after="80"/>
      </w:pPr>
      <w:r>
        <w:rPr>
          <w:rFonts w:ascii="Georgia" w:hAnsi="Georgia"/>
          <w:b/>
          <w:color w:val="194B37"/>
          <w:sz w:val="30"/>
        </w:rPr>
        <w:t>2. Multi-Scale Geographical Scope Definitions</w:t>
      </w:r>
    </w:p>
    <w:p>
      <w:pPr>
        <w:spacing w:after="100" w:line="276" w:lineRule="auto"/>
      </w:pPr>
      <w:r>
        <w:t>To ensure strict geographical accuracy, this research distinguishes between seven spatial tiers:</w:t>
        <w:br/>
        <w:t>• Scope A — Unakoti Archaeological Site: The protected forest gorge containing the rock-cut reliefs and detached sculptures along the stream.</w:t>
        <w:br/>
        <w:t>• Scope B — Surrounding Forest &amp; Raghunandan Hills: The immediate subtropical rainforest ecosystem and hill ridges.</w:t>
        <w:br/>
        <w:t>• Scope C — Kailashahar Sub-Division &amp; Town: The historic sub-divisional administrative center, former royal seat, 8 km northwest.</w:t>
        <w:br/>
        <w:t>• Scope D — Unakoti District: The modern administrative district created in 2012 with Kailashahar as headquarters.</w:t>
        <w:br/>
        <w:t>• Scope E — Northern Tripura: The regional geographic zone bordering Assam (Karimganj) and Bangladesh (Sylhet).</w:t>
        <w:br/>
        <w:t>• Scope F — State of Tripura: The broader political and cultural state characterized by 19 indigenous tribes and Bengali population.</w:t>
        <w:br/>
        <w:t>• Scope G — Northeast Indian Context: The regional cultural nexus connecting Assam, Sylhet/Bengal, and the Indo-Burmese frontier.</w:t>
      </w:r>
    </w:p>
    <w:p>
      <w:pPr>
        <w:keepNext/>
        <w:spacing w:before="280" w:after="80"/>
      </w:pPr>
      <w:r>
        <w:rPr>
          <w:rFonts w:ascii="Georgia" w:hAnsi="Georgia"/>
          <w:b/>
          <w:color w:val="194B37"/>
          <w:sz w:val="30"/>
        </w:rPr>
        <w:t>3. Multi-Tiered Introductions</w:t>
      </w:r>
    </w:p>
    <w:p>
      <w:pPr>
        <w:keepNext/>
        <w:spacing w:before="200" w:after="60"/>
      </w:pPr>
      <w:r>
        <w:rPr>
          <w:rFonts w:ascii="Georgia" w:hAnsi="Georgia"/>
          <w:b/>
          <w:color w:val="2D4132"/>
          <w:sz w:val="25"/>
        </w:rPr>
        <w:t>One-Line Definition</w:t>
      </w:r>
    </w:p>
    <w:p>
      <w:pPr>
        <w:spacing w:after="100" w:line="276" w:lineRule="auto"/>
      </w:pPr>
      <w:r>
        <w:rPr>
          <w:i/>
        </w:rPr>
        <w:t>Unakoti is an ancient open-air Shaivite rock-cut sanctuary and UNESCO Tentative World Heritage Site in Tripura, India, renowned for its colossal 30-foot relief of Unakotishwara Kal Bhairava and hundreds of rock carvings nestled within a forested stream valley.</w:t>
      </w:r>
    </w:p>
    <w:p>
      <w:pPr>
        <w:keepNext/>
        <w:spacing w:before="200" w:after="60"/>
      </w:pPr>
      <w:r>
        <w:rPr>
          <w:rFonts w:ascii="Georgia" w:hAnsi="Georgia"/>
          <w:b/>
          <w:color w:val="2D4132"/>
          <w:sz w:val="25"/>
        </w:rPr>
        <w:t>100-Word Overview</w:t>
      </w:r>
    </w:p>
    <w:p>
      <w:pPr>
        <w:spacing w:after="100" w:line="276" w:lineRule="auto"/>
      </w:pPr>
      <w:r>
        <w:t>Unakoti, situated in the verdant Raghunandan Hills of Tripura's Unakoti District, is Northeast India's most extraordinary rock-cut pilgrimage site. Dating between the 8th and 12th centuries CE, the sanctuary features colossal bas-reliefs carved directly onto vertical sandstone cliffs flanking a natural stream. Dominated by the magnificent 30-foot-high central head of Unakotishwara Kal Bhairava, the site seamlessly blends classical Agamic Shaivite iconography with indigenous tribal artistic idioms. Inscribed on the UNESCO World Heritage Tentative List in 2022, Unakoti remains a vibrant living heritage site, annually hosting the historic Ashokastami pilgrimage fair.</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8278"/>
        <w:sz w:val="16"/>
      </w:rPr>
      <w:t>Confidential &amp; Academic Heritage Documentation — Document Ref: UNA-DOC-01 — Unakoti Heritage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506E5A"/>
        <w:sz w:val="17"/>
      </w:rPr>
      <w:t>UNAKOTI CULTURAL HERITAGE ENCYCLOPEDIA | TRIPURA RESEARCH REPOSITORY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