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Georgia" w:hAnsi="Georgia"/>
          <w:b/>
          <w:color w:val="194B37"/>
          <w:sz w:val="42"/>
        </w:rPr>
        <w:t>04: EARLY HISTORY &amp; REGIONAL HISTORICAL CONTEXT</w:t>
      </w:r>
    </w:p>
    <w:p>
      <w:pPr>
        <w:spacing w:before="0" w:after="240"/>
      </w:pPr>
      <w:r>
        <w:rPr>
          <w:rFonts w:ascii="Georgia" w:hAnsi="Georgia"/>
          <w:i/>
          <w:color w:val="505F55"/>
          <w:sz w:val="24"/>
        </w:rPr>
        <w:t>Pre-Manikya History, Regional Shaivite Expansion, Samatata-Harikela Contacts, and Inscriptions</w:t>
      </w:r>
    </w:p>
    <w:tbl>
      <w:tblPr>
        <w:tblW w:type="auto" w:w="0"/>
        <w:jc w:val="center"/>
        <w:tblLook w:firstColumn="1" w:firstRow="1" w:lastColumn="0" w:lastRow="0" w:noHBand="0" w:noVBand="1" w:val="04A0"/>
      </w:tblPr>
      <w:tblGrid>
        <w:gridCol w:w="4968"/>
        <w:gridCol w:w="4968"/>
      </w:tblGrid>
      <w:tr>
        <w:tc>
          <w:tcPr>
            <w:tcW w:type="dxa" w:w="2592"/>
            <w:shd w:fill="E8F2EC"/>
            <w:tcMar>
              <w:top w:w="60" w:type="dxa"/>
              <w:bottom w:w="60" w:type="dxa"/>
              <w:left w:w="100" w:type="dxa"/>
              <w:right w:w="100" w:type="dxa"/>
            </w:tcMar>
          </w:tcPr>
          <w:p>
            <w:pPr>
              <w:spacing w:after="0"/>
            </w:pPr>
            <w:r>
              <w:rPr>
                <w:b/>
                <w:color w:val="143C28"/>
                <w:sz w:val="19"/>
              </w:rPr>
              <w:t>Project:</w:t>
            </w:r>
          </w:p>
        </w:tc>
        <w:tc>
          <w:tcPr>
            <w:tcW w:type="dxa" w:w="7200"/>
            <w:shd w:fill="F5FAF7"/>
            <w:tcMar>
              <w:top w:w="60" w:type="dxa"/>
              <w:bottom w:w="60" w:type="dxa"/>
              <w:left w:w="100" w:type="dxa"/>
              <w:right w:w="100" w:type="dxa"/>
            </w:tcMar>
          </w:tcPr>
          <w:p>
            <w:pPr>
              <w:spacing w:after="0"/>
            </w:pPr>
            <w:r>
              <w:rPr>
                <w:color w:val="323232"/>
                <w:sz w:val="19"/>
              </w:rPr>
              <w:t>Antigravity Indian Cultural Heritage Knowledge Platform (Unakoti, Tripura)</w:t>
            </w:r>
          </w:p>
        </w:tc>
      </w:tr>
      <w:tr>
        <w:tc>
          <w:tcPr>
            <w:tcW w:type="dxa" w:w="2592"/>
            <w:shd w:fill="E8F2EC"/>
            <w:tcMar>
              <w:top w:w="60" w:type="dxa"/>
              <w:bottom w:w="60" w:type="dxa"/>
              <w:left w:w="100" w:type="dxa"/>
              <w:right w:w="100" w:type="dxa"/>
            </w:tcMar>
          </w:tcPr>
          <w:p>
            <w:pPr>
              <w:spacing w:after="0"/>
            </w:pPr>
            <w:r>
              <w:rPr>
                <w:b/>
                <w:color w:val="143C28"/>
                <w:sz w:val="19"/>
              </w:rPr>
              <w:t>Research Team:</w:t>
            </w:r>
          </w:p>
        </w:tc>
        <w:tc>
          <w:tcPr>
            <w:tcW w:type="dxa" w:w="7200"/>
            <w:shd w:fill="F5FAF7"/>
            <w:tcMar>
              <w:top w:w="60" w:type="dxa"/>
              <w:bottom w:w="60" w:type="dxa"/>
              <w:left w:w="100" w:type="dxa"/>
              <w:right w:w="100" w:type="dxa"/>
            </w:tcMar>
          </w:tcPr>
          <w:p>
            <w:pPr>
              <w:spacing w:after="0"/>
            </w:pPr>
            <w:r>
              <w:rPr>
                <w:color w:val="323232"/>
                <w:sz w:val="19"/>
              </w:rPr>
              <w:t>Historians, Epigraphists, Rock-Art Specialists, Indigenous Anthropologists, Conservationists</w:t>
            </w:r>
          </w:p>
        </w:tc>
      </w:tr>
      <w:tr>
        <w:tc>
          <w:tcPr>
            <w:tcW w:type="dxa" w:w="2592"/>
            <w:shd w:fill="E8F2EC"/>
            <w:tcMar>
              <w:top w:w="60" w:type="dxa"/>
              <w:bottom w:w="60" w:type="dxa"/>
              <w:left w:w="100" w:type="dxa"/>
              <w:right w:w="100" w:type="dxa"/>
            </w:tcMar>
          </w:tcPr>
          <w:p>
            <w:pPr>
              <w:spacing w:after="0"/>
            </w:pPr>
            <w:r>
              <w:rPr>
                <w:b/>
                <w:color w:val="143C28"/>
                <w:sz w:val="19"/>
              </w:rPr>
              <w:t>Source Hierarchy:</w:t>
            </w:r>
          </w:p>
        </w:tc>
        <w:tc>
          <w:tcPr>
            <w:tcW w:type="dxa" w:w="7200"/>
            <w:shd w:fill="F5FAF7"/>
            <w:tcMar>
              <w:top w:w="60" w:type="dxa"/>
              <w:bottom w:w="60" w:type="dxa"/>
              <w:left w:w="100" w:type="dxa"/>
              <w:right w:w="100" w:type="dxa"/>
            </w:tcMar>
          </w:tcPr>
          <w:p>
            <w:pPr>
              <w:spacing w:after="0"/>
            </w:pPr>
            <w:r>
              <w:rPr>
                <w:color w:val="323232"/>
                <w:sz w:val="19"/>
              </w:rPr>
              <w:t>Tier 1 (UNESCO Tentative Dossier, ASI, State Archaeology) &amp; Tier 2 (Academic Monographs)</w:t>
            </w:r>
          </w:p>
        </w:tc>
      </w:tr>
      <w:tr>
        <w:tc>
          <w:tcPr>
            <w:tcW w:type="dxa" w:w="2592"/>
            <w:shd w:fill="E8F2EC"/>
            <w:tcMar>
              <w:top w:w="60" w:type="dxa"/>
              <w:bottom w:w="60" w:type="dxa"/>
              <w:left w:w="100" w:type="dxa"/>
              <w:right w:w="100" w:type="dxa"/>
            </w:tcMar>
          </w:tcPr>
          <w:p>
            <w:pPr>
              <w:spacing w:after="0"/>
            </w:pPr>
            <w:r>
              <w:rPr>
                <w:b/>
                <w:color w:val="143C28"/>
                <w:sz w:val="19"/>
              </w:rPr>
              <w:t>Geographical Context:</w:t>
            </w:r>
          </w:p>
        </w:tc>
        <w:tc>
          <w:tcPr>
            <w:tcW w:type="dxa" w:w="7200"/>
            <w:shd w:fill="F5FAF7"/>
            <w:tcMar>
              <w:top w:w="60" w:type="dxa"/>
              <w:bottom w:w="60" w:type="dxa"/>
              <w:left w:w="100" w:type="dxa"/>
              <w:right w:w="100" w:type="dxa"/>
            </w:tcMar>
          </w:tcPr>
          <w:p>
            <w:pPr>
              <w:spacing w:after="0"/>
            </w:pPr>
            <w:r>
              <w:rPr>
                <w:color w:val="323232"/>
                <w:sz w:val="19"/>
              </w:rPr>
              <w:t>Unakoti Rock-Cut Site, Kailashahar Sub-Division, Unakoti District, Tripura (Northeast India)</w:t>
            </w:r>
          </w:p>
        </w:tc>
      </w:tr>
    </w:tbl>
    <w:p>
      <w:pPr>
        <w:spacing w:after="160"/>
      </w:pPr>
    </w:p>
    <w:p>
      <w:pPr>
        <w:keepNext/>
        <w:spacing w:before="280" w:after="80"/>
      </w:pPr>
      <w:r>
        <w:rPr>
          <w:rFonts w:ascii="Georgia" w:hAnsi="Georgia"/>
          <w:b/>
          <w:color w:val="194B37"/>
          <w:sz w:val="30"/>
        </w:rPr>
        <w:t>1. Regional Political &amp; Religious Background (7th–13th Century CE)</w:t>
      </w:r>
    </w:p>
    <w:p>
      <w:pPr>
        <w:spacing w:after="100" w:line="276" w:lineRule="auto"/>
      </w:pPr>
      <w:r>
        <w:t>During the post-Gupta and early medieval periods, northeastern Bengal and Tripura fell within the sphere of regional polities such as the Khadgas, Devas, Chandras of Harikela, and the local kings of Pattikera and Samatata.</w:t>
      </w:r>
    </w:p>
    <w:tbl>
      <w:tblPr>
        <w:tblW w:type="auto" w:w="0"/>
        <w:jc w:val="center"/>
        <w:tblLook w:firstColumn="1" w:firstRow="1" w:lastColumn="0" w:lastRow="0" w:noHBand="0" w:noVBand="1" w:val="04A0"/>
      </w:tblPr>
      <w:tblGrid>
        <w:gridCol w:w="9936"/>
      </w:tblGrid>
      <w:tr>
        <w:tc>
          <w:tcPr>
            <w:tcW w:type="dxa" w:w="9792"/>
            <w:shd w:fill="F0F7F3"/>
            <w:tcMar>
              <w:top w:w="120" w:type="dxa"/>
              <w:bottom w:w="120" w:type="dxa"/>
              <w:left w:w="180" w:type="dxa"/>
              <w:right w:w="180" w:type="dxa"/>
            </w:tcMar>
            <w:tcBorders>
              <w:top w:val="none" w:sz="0" w:space="0" w:color="auto"/>
              <w:left w:val="single" w:sz="24" w:space="0" w:color="2D7A55"/>
              <w:bottom w:val="none" w:sz="0" w:space="0" w:color="auto"/>
              <w:right w:val="none" w:sz="0" w:space="0" w:color="auto"/>
            </w:tcBorders>
          </w:tcPr>
          <w:p>
            <w:pPr>
              <w:spacing w:after="60"/>
            </w:pPr>
            <w:r>
              <w:rPr>
                <w:b/>
                <w:color w:val="195037"/>
                <w:sz w:val="19"/>
              </w:rPr>
              <w:t>[HISTORICAL CONTEXT]</w:t>
              <w:br/>
            </w:r>
            <w:r>
              <w:rPr>
                <w:color w:val="28372D"/>
                <w:sz w:val="20"/>
              </w:rPr>
              <w:t>HISTORICAL &amp; ART-HISTORICAL EVIDENCE:</w:t>
              <w:br/>
              <w:t>While no royal foundation inscription survives directly at Unakoti itself, comparative stylistic analysis by ASI and epigraphists indicates that the sanctuary flourished under the patronage of regional Hinduized tribal chiefs or feudatories of Eastern Bengal/Sylhet between the 8th and 12th centuries CE, serving as a frontier pilgrimage shrine linking the plains with the hills.</w:t>
            </w:r>
          </w:p>
        </w:tc>
      </w:tr>
    </w:tbl>
    <w:p>
      <w:pPr>
        <w:spacing w:after="80"/>
      </w:pPr>
    </w:p>
    <w:p>
      <w:pPr>
        <w:keepNext/>
        <w:spacing w:before="200" w:after="60"/>
      </w:pPr>
      <w:r>
        <w:rPr>
          <w:rFonts w:ascii="Georgia" w:hAnsi="Georgia"/>
          <w:b/>
          <w:color w:val="2D4132"/>
          <w:sz w:val="25"/>
        </w:rPr>
        <w:t>The Manikya Dynasty &amp; Later Royal Context</w:t>
      </w:r>
    </w:p>
    <w:p>
      <w:pPr>
        <w:spacing w:after="100" w:line="276" w:lineRule="auto"/>
      </w:pPr>
      <w:r>
        <w:t>The Rajmala (the royal court chronicle of the Manikya kings of Tripura) records that northern Tripura and the Manu river basin were early seats of royal authority. King Trilochan and King Jujhar Fa are traditionally associated with early regional temples, though direct inscriptional linkage to Unakoti remains an ongoing academic inquiry.</w:t>
      </w: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color w:val="788278"/>
        <w:sz w:val="16"/>
      </w:rPr>
      <w:t>Confidential &amp; Academic Heritage Documentation — Document Ref: UNA-DOC-04 — Unakoti Heritage Archive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Georgia" w:hAnsi="Georgia"/>
        <w:color w:val="506E5A"/>
        <w:sz w:val="17"/>
      </w:rPr>
      <w:t>UNAKOTI CULTURAL HERITAGE ENCYCLOPEDIA | TRIPURA RESEARCH REPOSITORY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28282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