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06: ARCHAEOLOGICAL HISTORY &amp; SURVEYS OF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History of Archaeological Exploration, ASI Excavations, Dating Hypotheses, and Discoveries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Archaeological Exploration History</w:t>
      </w:r>
    </w:p>
    <w:p>
      <w:pPr>
        <w:spacing w:after="100" w:line="276" w:lineRule="auto"/>
      </w:pPr>
      <w:r>
        <w:t>Unlike formal structural temple complexes, Unakoti is an open-air natural rock-art sanctuary spanning vertical cliff faces, natural rock boulders, and a central stream (Sitaram Chhara). Archaeological studies by the ASI have uncovered numerous detached stone sculptures and structural brick fragments buried beneath forest silt.</w:t>
      </w:r>
    </w:p>
    <w:p>
      <w:pPr>
        <w:keepNext/>
        <w:spacing w:before="200" w:after="60"/>
      </w:pPr>
      <w:r>
        <w:rPr>
          <w:rFonts w:ascii="Georgia" w:hAnsi="Georgia"/>
          <w:b/>
          <w:color w:val="2D4132"/>
          <w:sz w:val="25"/>
        </w:rPr>
        <w:t>Stratigraphy &amp; Sculpture Typology</w:t>
      </w:r>
    </w:p>
    <w:p>
      <w:pPr>
        <w:spacing w:after="100" w:line="276" w:lineRule="auto"/>
      </w:pPr>
      <w:r>
        <w:t>• Rock-Cut Bas-Reliefs: Carved directly on vertical living rock escarpments; includes the 30-foot Unakotishwara Kal Bhairava, Ganga, Durga, and Ganesha figures.</w:t>
        <w:br/>
        <w:t>• Detached Sandstone Sculptures: Free-standing icons of Vishnu, Narasimha, Hanuman, Uma-Maheshwara, and Nandi bulls, originally housed in open wooden or thatched pavilions.</w:t>
        <w:br/>
        <w:t>• Brick Shrines &amp; Silt Deposits: Trial excavations have revealed 11th-century brick plinths near the hilltop, indicating secondary structural shrines overlooking the gorge.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UNA-DOC-06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