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07: UNAKOTI ROCK-CUT SCULPTURES — MASTER STUDY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Rock-Art Morphology, Sandstone Carving Mechanics, Distribution, and Regional Comparisons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Rock-Art Morphology and Setting</w:t>
      </w:r>
    </w:p>
    <w:p>
      <w:pPr>
        <w:spacing w:after="100" w:line="276" w:lineRule="auto"/>
      </w:pPr>
      <w:r>
        <w:t>The rock-cut carvings at Unakoti represent the largest and most spectacular ensemble of bas-relief rock art in Northeast India. Unlike subterranean rock-cut cave temples (such as Ajanta or Ellora), Unakoti's sculptures are carved on exposed, open-air vertical sandstone cliff faces flanking a rugged hillside gorge.</w:t>
      </w:r>
    </w:p>
    <w:p>
      <w:pPr>
        <w:keepNext/>
        <w:spacing w:before="200" w:after="60"/>
      </w:pPr>
      <w:r>
        <w:rPr>
          <w:rFonts w:ascii="Georgia" w:hAnsi="Georgia"/>
          <w:b/>
          <w:color w:val="2D4132"/>
          <w:sz w:val="25"/>
        </w:rPr>
        <w:t>Sculpture Distribution &amp; Stylistic Duality</w:t>
      </w:r>
    </w:p>
    <w:p>
      <w:pPr>
        <w:spacing w:after="100" w:line="276" w:lineRule="auto"/>
      </w:pPr>
      <w:r>
        <w:t>Scholars identify a profound stylistic duality at Unakoti:</w:t>
        <w:br/>
        <w:t>1. Classical Agamic Influences: Classical Brahmanical iconographic canons visible in the multi-armed postures, attributes (Trident, Conch, Discus), and vahana placements.</w:t>
        <w:br/>
        <w:t>2. Indigenous Tribal Aesthetic: Distinctive geometric facial abstraction, flat two-dimensional carving planes, wide stylized eyes, and high embroidered headdresses reflecting regional Tibeto-Burman / Tripuri aesthetic sensibilities.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UNA-DOC-07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