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09: THE CENTRAL SCULPTURE COMPLEX &amp; STREAM GORGE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Spatial Layout, Sitaram Chhara Valley, Natural Amphitheater, and Ritual Procession Pathways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Spatial Geography of the Sanctuary</w:t>
      </w:r>
    </w:p>
    <w:p>
      <w:pPr>
        <w:spacing w:after="100" w:line="276" w:lineRule="auto"/>
      </w:pPr>
      <w:r>
        <w:t>The sanctuary is organized linearly along the cascading course of the 'Sitaram Chhara' (a perennial freshwater forest stream), forming an organic natural amphitheater surrounded by lush hill slopes.</w:t>
      </w:r>
    </w:p>
    <w:p>
      <w:pPr>
        <w:spacing w:after="100" w:line="276" w:lineRule="auto"/>
      </w:pPr>
      <w:r>
        <w:t>Zonal Organization:</w:t>
        <w:br/>
        <w:t>• Upper Western Ridge: Preserves detached stone icons, Shiva Lingas, and the modern pilgrimage temple.</w:t>
        <w:br/>
        <w:t>• Central Rock Face: The colossal Unakotishwara Kal Bhairava relief overlooking the sacred bathing pool.</w:t>
        <w:br/>
        <w:t>• Lower Eastern Cliff: The famous Ganesha relief group, dancing Shiva panels, and Ravana-anugraha reliefs.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UNA-DOC-09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