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14: SHAIVISM &amp; RELIGIOUS HERITAGE OF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Pashupata &amp; Tantric Shaivism, Kal Bhairava Cult, Shakti Peetha Parallels, and Syncretism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Medieval Shaivite Traditions in Eastern India</w:t>
      </w:r>
    </w:p>
    <w:p>
      <w:pPr>
        <w:spacing w:after="100" w:line="276" w:lineRule="auto"/>
      </w:pPr>
      <w:r>
        <w:t>During the 8th to 12th centuries CE, northeastern India experienced a profound expansion of Tantric Shaivism, particularly the Pashupata and Kapalika sects, which favored isolated forested ravines and river waterfalls for esoteric meditation.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[TRIBAL-HINDU RELIGIOUS SYNCRETISM]</w:t>
              <w:br/>
            </w:r>
            <w:r>
              <w:rPr>
                <w:color w:val="28372D"/>
                <w:sz w:val="20"/>
              </w:rPr>
              <w:t>RELIGIOUS &amp; ANTHROPOLOGICAL FACT:</w:t>
              <w:br/>
              <w:t>At Unakoti, Shaivism intersected directly with the pre-existing animistic and nature-venerating traditions of the indigenous Borok/Tripuri tribes, who identified Lord Shiva with 'Subrai'—the supreme ancestral deity and master of wild forests.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UNA-DOC-14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