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194B37"/>
          <w:sz w:val="42"/>
        </w:rPr>
        <w:t>16: THE ASHOKASTAMI FESTIVAL &amp; PILGRIMAGE MELA</w:t>
      </w:r>
    </w:p>
    <w:p>
      <w:pPr>
        <w:spacing w:before="0" w:after="240"/>
      </w:pPr>
      <w:r>
        <w:rPr>
          <w:rFonts w:ascii="Georgia" w:hAnsi="Georgia"/>
          <w:i/>
          <w:color w:val="505F55"/>
          <w:sz w:val="24"/>
        </w:rPr>
        <w:t>The Great Spring Pilgrimage, Asthami Snana, Brahmakunda Bathing, and Socio-Economic Impact</w:t>
      </w:r>
    </w:p>
    <w:tbl>
      <w:tblPr>
        <w:tblW w:type="auto" w:w="0"/>
        <w:jc w:val="center"/>
        <w:tblLook w:firstColumn="1" w:firstRow="1" w:lastColumn="0" w:lastRow="0" w:noHBand="0" w:noVBand="1" w:val="04A0"/>
      </w:tblPr>
      <w:tblGrid>
        <w:gridCol w:w="4968"/>
        <w:gridCol w:w="4968"/>
      </w:tblGrid>
      <w:tr>
        <w:tc>
          <w:tcPr>
            <w:tcW w:type="dxa" w:w="2592"/>
            <w:shd w:fill="E8F2EC"/>
            <w:tcMar>
              <w:top w:w="60" w:type="dxa"/>
              <w:bottom w:w="60" w:type="dxa"/>
              <w:left w:w="100" w:type="dxa"/>
              <w:right w:w="100" w:type="dxa"/>
            </w:tcMar>
          </w:tcPr>
          <w:p>
            <w:pPr>
              <w:spacing w:after="0"/>
            </w:pPr>
            <w:r>
              <w:rPr>
                <w:b/>
                <w:color w:val="143C28"/>
                <w:sz w:val="19"/>
              </w:rPr>
              <w:t>Project:</w:t>
            </w:r>
          </w:p>
        </w:tc>
        <w:tc>
          <w:tcPr>
            <w:tcW w:type="dxa" w:w="7200"/>
            <w:shd w:fill="F5FAF7"/>
            <w:tcMar>
              <w:top w:w="60" w:type="dxa"/>
              <w:bottom w:w="60" w:type="dxa"/>
              <w:left w:w="100" w:type="dxa"/>
              <w:right w:w="100" w:type="dxa"/>
            </w:tcMar>
          </w:tcPr>
          <w:p>
            <w:pPr>
              <w:spacing w:after="0"/>
            </w:pPr>
            <w:r>
              <w:rPr>
                <w:color w:val="323232"/>
                <w:sz w:val="19"/>
              </w:rPr>
              <w:t>Antigravity Indian Cultural Heritage Knowledge Platform (Unakoti, Tripura)</w:t>
            </w:r>
          </w:p>
        </w:tc>
      </w:tr>
      <w:tr>
        <w:tc>
          <w:tcPr>
            <w:tcW w:type="dxa" w:w="2592"/>
            <w:shd w:fill="E8F2EC"/>
            <w:tcMar>
              <w:top w:w="60" w:type="dxa"/>
              <w:bottom w:w="60" w:type="dxa"/>
              <w:left w:w="100" w:type="dxa"/>
              <w:right w:w="100" w:type="dxa"/>
            </w:tcMar>
          </w:tcPr>
          <w:p>
            <w:pPr>
              <w:spacing w:after="0"/>
            </w:pPr>
            <w:r>
              <w:rPr>
                <w:b/>
                <w:color w:val="143C28"/>
                <w:sz w:val="19"/>
              </w:rPr>
              <w:t>Research Team:</w:t>
            </w:r>
          </w:p>
        </w:tc>
        <w:tc>
          <w:tcPr>
            <w:tcW w:type="dxa" w:w="7200"/>
            <w:shd w:fill="F5FAF7"/>
            <w:tcMar>
              <w:top w:w="60" w:type="dxa"/>
              <w:bottom w:w="60" w:type="dxa"/>
              <w:left w:w="100" w:type="dxa"/>
              <w:right w:w="100" w:type="dxa"/>
            </w:tcMar>
          </w:tcPr>
          <w:p>
            <w:pPr>
              <w:spacing w:after="0"/>
            </w:pPr>
            <w:r>
              <w:rPr>
                <w:color w:val="323232"/>
                <w:sz w:val="19"/>
              </w:rPr>
              <w:t>Historians, Epigraphists, Rock-Art Specialists, Indigenous Anthropologists, Conservationists</w:t>
            </w:r>
          </w:p>
        </w:tc>
      </w:tr>
      <w:tr>
        <w:tc>
          <w:tcPr>
            <w:tcW w:type="dxa" w:w="2592"/>
            <w:shd w:fill="E8F2EC"/>
            <w:tcMar>
              <w:top w:w="60" w:type="dxa"/>
              <w:bottom w:w="60" w:type="dxa"/>
              <w:left w:w="100" w:type="dxa"/>
              <w:right w:w="100" w:type="dxa"/>
            </w:tcMar>
          </w:tcPr>
          <w:p>
            <w:pPr>
              <w:spacing w:after="0"/>
            </w:pPr>
            <w:r>
              <w:rPr>
                <w:b/>
                <w:color w:val="143C28"/>
                <w:sz w:val="19"/>
              </w:rPr>
              <w:t>Source Hierarchy:</w:t>
            </w:r>
          </w:p>
        </w:tc>
        <w:tc>
          <w:tcPr>
            <w:tcW w:type="dxa" w:w="7200"/>
            <w:shd w:fill="F5FAF7"/>
            <w:tcMar>
              <w:top w:w="60" w:type="dxa"/>
              <w:bottom w:w="60" w:type="dxa"/>
              <w:left w:w="100" w:type="dxa"/>
              <w:right w:w="100" w:type="dxa"/>
            </w:tcMar>
          </w:tcPr>
          <w:p>
            <w:pPr>
              <w:spacing w:after="0"/>
            </w:pPr>
            <w:r>
              <w:rPr>
                <w:color w:val="323232"/>
                <w:sz w:val="19"/>
              </w:rPr>
              <w:t>Tier 1 (UNESCO Tentative Dossier, ASI, State Archaeology) &amp; Tier 2 (Academic Monographs)</w:t>
            </w:r>
          </w:p>
        </w:tc>
      </w:tr>
      <w:tr>
        <w:tc>
          <w:tcPr>
            <w:tcW w:type="dxa" w:w="2592"/>
            <w:shd w:fill="E8F2EC"/>
            <w:tcMar>
              <w:top w:w="60" w:type="dxa"/>
              <w:bottom w:w="60" w:type="dxa"/>
              <w:left w:w="100" w:type="dxa"/>
              <w:right w:w="100" w:type="dxa"/>
            </w:tcMar>
          </w:tcPr>
          <w:p>
            <w:pPr>
              <w:spacing w:after="0"/>
            </w:pPr>
            <w:r>
              <w:rPr>
                <w:b/>
                <w:color w:val="143C28"/>
                <w:sz w:val="19"/>
              </w:rPr>
              <w:t>Geographical Context:</w:t>
            </w:r>
          </w:p>
        </w:tc>
        <w:tc>
          <w:tcPr>
            <w:tcW w:type="dxa" w:w="7200"/>
            <w:shd w:fill="F5FAF7"/>
            <w:tcMar>
              <w:top w:w="60" w:type="dxa"/>
              <w:bottom w:w="60" w:type="dxa"/>
              <w:left w:w="100" w:type="dxa"/>
              <w:right w:w="100" w:type="dxa"/>
            </w:tcMar>
          </w:tcPr>
          <w:p>
            <w:pPr>
              <w:spacing w:after="0"/>
            </w:pPr>
            <w:r>
              <w:rPr>
                <w:color w:val="323232"/>
                <w:sz w:val="19"/>
              </w:rPr>
              <w:t>Unakoti Rock-Cut Site, Kailashahar Sub-Division, Unakoti District, Tripura (Northeast India)</w:t>
            </w:r>
          </w:p>
        </w:tc>
      </w:tr>
    </w:tbl>
    <w:p>
      <w:pPr>
        <w:spacing w:after="160"/>
      </w:pPr>
    </w:p>
    <w:p>
      <w:pPr>
        <w:keepNext/>
        <w:spacing w:before="280" w:after="80"/>
      </w:pPr>
      <w:r>
        <w:rPr>
          <w:rFonts w:ascii="Georgia" w:hAnsi="Georgia"/>
          <w:b/>
          <w:color w:val="194B37"/>
          <w:sz w:val="30"/>
        </w:rPr>
        <w:t>1. The Ashokastami Pilgrimage (Chaitra Shukla Ashtami)</w:t>
      </w:r>
    </w:p>
    <w:p>
      <w:pPr>
        <w:spacing w:after="100" w:line="276" w:lineRule="auto"/>
      </w:pPr>
      <w:r>
        <w:t>The Ashokastami Mela, held annually in March–April (the eighth day of the bright fortnight of the lunar month of Chaitra), is the largest and most ancient religious festival in northern Tripura, attracting over 100,000 pilgrims from Tripura, Assam, Meghalaya, and neighboring Bangladesh.</w:t>
      </w:r>
    </w:p>
    <w:tbl>
      <w:tblPr>
        <w:tblW w:type="auto" w:w="0"/>
        <w:jc w:val="center"/>
        <w:tblLook w:firstColumn="1" w:firstRow="1" w:lastColumn="0" w:lastRow="0" w:noHBand="0" w:noVBand="1" w:val="04A0"/>
      </w:tblPr>
      <w:tblGrid>
        <w:gridCol w:w="3312"/>
        <w:gridCol w:w="3312"/>
        <w:gridCol w:w="3312"/>
      </w:tblGrid>
      <w:tr>
        <w:tc>
          <w:tcPr>
            <w:tcW w:type="dxa" w:w="2592"/>
            <w:shd w:fill="1E523C"/>
            <w:tcMar>
              <w:top w:w="100" w:type="dxa"/>
              <w:bottom w:w="100" w:type="dxa"/>
              <w:left w:w="120" w:type="dxa"/>
              <w:right w:w="120" w:type="dxa"/>
            </w:tcMar>
          </w:tcPr>
          <w:p>
            <w:pPr>
              <w:spacing w:after="0"/>
            </w:pPr>
            <w:r>
              <w:rPr>
                <w:b/>
                <w:color w:val="FFFFFF"/>
                <w:sz w:val="19"/>
              </w:rPr>
              <w:t>Festival Dimension</w:t>
            </w:r>
          </w:p>
        </w:tc>
        <w:tc>
          <w:tcPr>
            <w:tcW w:type="dxa" w:w="4608"/>
            <w:shd w:fill="1E523C"/>
            <w:tcMar>
              <w:top w:w="100" w:type="dxa"/>
              <w:bottom w:w="100" w:type="dxa"/>
              <w:left w:w="120" w:type="dxa"/>
              <w:right w:w="120" w:type="dxa"/>
            </w:tcMar>
          </w:tcPr>
          <w:p>
            <w:pPr>
              <w:spacing w:after="0"/>
            </w:pPr>
            <w:r>
              <w:rPr>
                <w:b/>
                <w:color w:val="FFFFFF"/>
                <w:sz w:val="19"/>
              </w:rPr>
              <w:t>Description &amp; Field Observations</w:t>
            </w:r>
          </w:p>
        </w:tc>
        <w:tc>
          <w:tcPr>
            <w:tcW w:type="dxa" w:w="3168"/>
            <w:shd w:fill="1E523C"/>
            <w:tcMar>
              <w:top w:w="100" w:type="dxa"/>
              <w:bottom w:w="100" w:type="dxa"/>
              <w:left w:w="120" w:type="dxa"/>
              <w:right w:w="120" w:type="dxa"/>
            </w:tcMar>
          </w:tcPr>
          <w:p>
            <w:pPr>
              <w:spacing w:after="0"/>
            </w:pPr>
            <w:r>
              <w:rPr>
                <w:b/>
                <w:color w:val="FFFFFF"/>
                <w:sz w:val="19"/>
              </w:rPr>
              <w:t>Cultural &amp; Administrative Management</w:t>
            </w:r>
          </w:p>
        </w:tc>
      </w:tr>
      <w:tr>
        <w:tc>
          <w:tcPr>
            <w:tcW w:type="dxa" w:w="2592"/>
            <w:shd w:fill="F4F9F6"/>
            <w:tcMar>
              <w:top w:w="80" w:type="dxa"/>
              <w:bottom w:w="80" w:type="dxa"/>
              <w:left w:w="100" w:type="dxa"/>
              <w:right w:w="100" w:type="dxa"/>
            </w:tcMar>
          </w:tcPr>
          <w:p>
            <w:pPr>
              <w:spacing w:after="0"/>
            </w:pPr>
            <w:r>
              <w:rPr>
                <w:color w:val="282828"/>
                <w:sz w:val="18"/>
              </w:rPr>
              <w:t>Asthami Snana (Holy Bathing)</w:t>
            </w:r>
          </w:p>
        </w:tc>
        <w:tc>
          <w:tcPr>
            <w:tcW w:type="dxa" w:w="4608"/>
            <w:shd w:fill="F4F9F6"/>
            <w:tcMar>
              <w:top w:w="80" w:type="dxa"/>
              <w:bottom w:w="80" w:type="dxa"/>
              <w:left w:w="100" w:type="dxa"/>
              <w:right w:w="100" w:type="dxa"/>
            </w:tcMar>
          </w:tcPr>
          <w:p>
            <w:pPr>
              <w:spacing w:after="0"/>
            </w:pPr>
            <w:r>
              <w:rPr>
                <w:color w:val="282828"/>
                <w:sz w:val="18"/>
              </w:rPr>
              <w:t>Devotees take ritual purification dips in the sacred stream pool (Brahmakunda / Asthami Kunda) before sunrise.</w:t>
            </w:r>
          </w:p>
        </w:tc>
        <w:tc>
          <w:tcPr>
            <w:tcW w:type="dxa" w:w="3168"/>
            <w:shd w:fill="F4F9F6"/>
            <w:tcMar>
              <w:top w:w="80" w:type="dxa"/>
              <w:bottom w:w="80" w:type="dxa"/>
              <w:left w:w="100" w:type="dxa"/>
              <w:right w:w="100" w:type="dxa"/>
            </w:tcMar>
          </w:tcPr>
          <w:p>
            <w:pPr>
              <w:spacing w:after="0"/>
            </w:pPr>
            <w:r>
              <w:rPr>
                <w:color w:val="282828"/>
                <w:sz w:val="18"/>
              </w:rPr>
              <w:t>Designated bathing enclosures with safety barricades and life-guards.</w:t>
            </w:r>
          </w:p>
        </w:tc>
      </w:tr>
      <w:tr>
        <w:tc>
          <w:tcPr>
            <w:tcW w:type="dxa" w:w="2592"/>
            <w:shd w:fill="FFFFFF"/>
            <w:tcMar>
              <w:top w:w="80" w:type="dxa"/>
              <w:bottom w:w="80" w:type="dxa"/>
              <w:left w:w="100" w:type="dxa"/>
              <w:right w:w="100" w:type="dxa"/>
            </w:tcMar>
          </w:tcPr>
          <w:p>
            <w:pPr>
              <w:spacing w:after="0"/>
            </w:pPr>
            <w:r>
              <w:rPr>
                <w:color w:val="282828"/>
                <w:sz w:val="18"/>
              </w:rPr>
              <w:t>Sacred Floral Offerings</w:t>
            </w:r>
          </w:p>
        </w:tc>
        <w:tc>
          <w:tcPr>
            <w:tcW w:type="dxa" w:w="4608"/>
            <w:shd w:fill="FFFFFF"/>
            <w:tcMar>
              <w:top w:w="80" w:type="dxa"/>
              <w:bottom w:w="80" w:type="dxa"/>
              <w:left w:w="100" w:type="dxa"/>
              <w:right w:w="100" w:type="dxa"/>
            </w:tcMar>
          </w:tcPr>
          <w:p>
            <w:pPr>
              <w:spacing w:after="0"/>
            </w:pPr>
            <w:r>
              <w:rPr>
                <w:color w:val="282828"/>
                <w:sz w:val="18"/>
              </w:rPr>
              <w:t>Offerings of yellow Ashoka flowers (Saraca asoca), bilva leaves, fruits, and holy earthen lamps (diyas).</w:t>
            </w:r>
          </w:p>
        </w:tc>
        <w:tc>
          <w:tcPr>
            <w:tcW w:type="dxa" w:w="3168"/>
            <w:shd w:fill="FFFFFF"/>
            <w:tcMar>
              <w:top w:w="80" w:type="dxa"/>
              <w:bottom w:w="80" w:type="dxa"/>
              <w:left w:w="100" w:type="dxa"/>
              <w:right w:w="100" w:type="dxa"/>
            </w:tcMar>
          </w:tcPr>
          <w:p>
            <w:pPr>
              <w:spacing w:after="0"/>
            </w:pPr>
            <w:r>
              <w:rPr>
                <w:color w:val="282828"/>
                <w:sz w:val="18"/>
              </w:rPr>
              <w:t>Priests conduct continuous mass blessing ceremonies along the cliff.</w:t>
            </w:r>
          </w:p>
        </w:tc>
      </w:tr>
      <w:tr>
        <w:tc>
          <w:tcPr>
            <w:tcW w:type="dxa" w:w="2592"/>
            <w:shd w:fill="F4F9F6"/>
            <w:tcMar>
              <w:top w:w="80" w:type="dxa"/>
              <w:bottom w:w="80" w:type="dxa"/>
              <w:left w:w="100" w:type="dxa"/>
              <w:right w:w="100" w:type="dxa"/>
            </w:tcMar>
          </w:tcPr>
          <w:p>
            <w:pPr>
              <w:spacing w:after="0"/>
            </w:pPr>
            <w:r>
              <w:rPr>
                <w:color w:val="282828"/>
                <w:sz w:val="18"/>
              </w:rPr>
              <w:t>The Grand Heritage Mela</w:t>
            </w:r>
          </w:p>
        </w:tc>
        <w:tc>
          <w:tcPr>
            <w:tcW w:type="dxa" w:w="4608"/>
            <w:shd w:fill="F4F9F6"/>
            <w:tcMar>
              <w:top w:w="80" w:type="dxa"/>
              <w:bottom w:w="80" w:type="dxa"/>
              <w:left w:w="100" w:type="dxa"/>
              <w:right w:w="100" w:type="dxa"/>
            </w:tcMar>
          </w:tcPr>
          <w:p>
            <w:pPr>
              <w:spacing w:after="0"/>
            </w:pPr>
            <w:r>
              <w:rPr>
                <w:color w:val="282828"/>
                <w:sz w:val="18"/>
              </w:rPr>
              <w:t>A massive 3-day rural fair featuring 500+ stalls selling bamboo crafts, handlooms, clay toys, sweets (jalebi, khaja).</w:t>
            </w:r>
          </w:p>
        </w:tc>
        <w:tc>
          <w:tcPr>
            <w:tcW w:type="dxa" w:w="3168"/>
            <w:shd w:fill="F4F9F6"/>
            <w:tcMar>
              <w:top w:w="80" w:type="dxa"/>
              <w:bottom w:w="80" w:type="dxa"/>
              <w:left w:w="100" w:type="dxa"/>
              <w:right w:w="100" w:type="dxa"/>
            </w:tcMar>
          </w:tcPr>
          <w:p>
            <w:pPr>
              <w:spacing w:after="0"/>
            </w:pPr>
            <w:r>
              <w:rPr>
                <w:color w:val="282828"/>
                <w:sz w:val="18"/>
              </w:rPr>
              <w:t>District Administration Unakoti &amp; Police deploy crowd management systems.</w:t>
            </w:r>
          </w:p>
        </w:tc>
      </w:tr>
      <w:tr>
        <w:tc>
          <w:tcPr>
            <w:tcW w:type="dxa" w:w="2592"/>
            <w:shd w:fill="FFFFFF"/>
            <w:tcMar>
              <w:top w:w="80" w:type="dxa"/>
              <w:bottom w:w="80" w:type="dxa"/>
              <w:left w:w="100" w:type="dxa"/>
              <w:right w:w="100" w:type="dxa"/>
            </w:tcMar>
          </w:tcPr>
          <w:p>
            <w:pPr>
              <w:spacing w:after="0"/>
            </w:pPr>
            <w:r>
              <w:rPr>
                <w:color w:val="282828"/>
                <w:sz w:val="18"/>
              </w:rPr>
              <w:t>Ethnic Convergence</w:t>
            </w:r>
          </w:p>
        </w:tc>
        <w:tc>
          <w:tcPr>
            <w:tcW w:type="dxa" w:w="4608"/>
            <w:shd w:fill="FFFFFF"/>
            <w:tcMar>
              <w:top w:w="80" w:type="dxa"/>
              <w:bottom w:w="80" w:type="dxa"/>
              <w:left w:w="100" w:type="dxa"/>
              <w:right w:w="100" w:type="dxa"/>
            </w:tcMar>
          </w:tcPr>
          <w:p>
            <w:pPr>
              <w:spacing w:after="0"/>
            </w:pPr>
            <w:r>
              <w:rPr>
                <w:color w:val="282828"/>
                <w:sz w:val="18"/>
              </w:rPr>
              <w:t>Unites Bengali Hindus, Tripuris, Reangs, Chakmas, and Tea-tribe communities in shared cultural festivity.</w:t>
            </w:r>
          </w:p>
        </w:tc>
        <w:tc>
          <w:tcPr>
            <w:tcW w:type="dxa" w:w="3168"/>
            <w:shd w:fill="FFFFFF"/>
            <w:tcMar>
              <w:top w:w="80" w:type="dxa"/>
              <w:bottom w:w="80" w:type="dxa"/>
              <w:left w:w="100" w:type="dxa"/>
              <w:right w:w="100" w:type="dxa"/>
            </w:tcMar>
          </w:tcPr>
          <w:p>
            <w:pPr>
              <w:spacing w:after="0"/>
            </w:pPr>
            <w:r>
              <w:rPr>
                <w:color w:val="282828"/>
                <w:sz w:val="18"/>
              </w:rPr>
              <w:t>Symbol of regional peace, cultural cohesion, and inter-community solidarity.</w:t>
            </w:r>
          </w:p>
        </w:tc>
      </w:tr>
    </w:tbl>
    <w:p>
      <w:pPr>
        <w:spacing w:after="12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8278"/>
        <w:sz w:val="16"/>
      </w:rPr>
      <w:t>Confidential &amp; Academic Heritage Documentation — Document Ref: UNA-DOC-16 — Unakoti Heritage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506E5A"/>
        <w:sz w:val="17"/>
      </w:rPr>
      <w:t>UNAKOTI CULTURAL HERITAGE ENCYCLOPEDIA | TRIPURA RESEARCH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