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18: LOCAL COMMUNITIES &amp; SOCIAL LANDSCAPE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Demographic Fabric, Tripuri, Reang (Bru), Jamatia, Bengali, and Agrarian Communities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Pluralistic Cultural Geography</w:t>
      </w:r>
    </w:p>
    <w:p>
      <w:pPr>
        <w:spacing w:after="100" w:line="276" w:lineRule="auto"/>
      </w:pPr>
      <w:r>
        <w:t>The cultural landscape around Unakoti is home to a rich mosaic of indigenous ethnic groups and Bengali agrarian settlements living in centuries-old harmony:</w:t>
        <w:br/>
        <w:t>• Tripuri (Debbarma / Tipra): The primary indigenous community speaking Kokborok.</w:t>
        <w:br/>
        <w:t>• Reang (Bru): The second-largest tribal group, known for their exquisite Hojagiri balance dance and bamboo craftsmanship.</w:t>
        <w:br/>
        <w:t>• Bengali Community: Settled predominantly in Kailashahar and valley plains, managing commerce, education, and temple rituals.</w:t>
        <w:br/>
        <w:t>• Chakma &amp; Halam Communities: Residing in nearby hill tracts, contributing rich weaving and folk music traditions.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