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19: INDIGENOUS &amp; TRIBAL HERITAGE OF TRIPURA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The Cult of Subrai, Sacred Bamboo Groves (Than), Ochai Priesthood, and Traditional Customs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Indigenous Cosmovision &amp; The God Subrai</w:t>
      </w:r>
    </w:p>
    <w:p>
      <w:pPr>
        <w:spacing w:after="100" w:line="276" w:lineRule="auto"/>
      </w:pPr>
      <w:r>
        <w:t>In traditional Tripuri indigenous theology, Lord Shiva is identified as 'Subrai' or 'Subrai Raja'. Indigenous oral traditions recount that Subrai created the hills, wild bamboo forests, and sacred rivers of Tripura.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7F3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2D7A55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195037"/>
                <w:sz w:val="19"/>
              </w:rPr>
              <w:t>[TRIPURI ORAL THEOLOGY]</w:t>
              <w:br/>
            </w:r>
            <w:r>
              <w:rPr>
                <w:color w:val="28372D"/>
                <w:sz w:val="20"/>
              </w:rPr>
              <w:t>INDIGENOUS RELIGIOUS TRADITION:</w:t>
              <w:br/>
              <w:t>Tripuri villagers revere Unakoti as the primordial abode where Subrai established the fundamental laws of nature and community ethics before departing for Mount Kailash.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UNA-DOC-19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