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20: LANGUAGES &amp; LINGUISTIC HERITAGE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Kokborok, Bengali, English; Etymology of Toponyms, and Visitor Cultural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Multilingual Linguistic Ecology</w:t>
      </w:r>
    </w:p>
    <w:p>
      <w:pPr>
        <w:spacing w:after="100" w:line="276" w:lineRule="auto"/>
      </w:pPr>
      <w:r>
        <w:t>The region around Unakoti is fundamentally bilingual, operating in Kokborok (Tibeto-Burman language of the Borok people) and Bengali (Eastern Indo-Aryan), with English and Hindi used in administrative and educational spheres.</w:t>
      </w: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Visitor Cultural Heritage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English Term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Kokborok Equivalent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Bengali Equivalent</w:t>
            </w:r>
          </w:p>
        </w:tc>
        <w:tc>
          <w:tcPr>
            <w:tcW w:type="dxa" w:w="360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Cultural Context &amp; Meaning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Lord Shiva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Subrai (ಸುಬ್ರಾಯ್)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Shib / Mahadev (শিব)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Supreme deity of Unakoti rock reliefs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Hill / Stream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Khung / Chhara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Pahar / Jhorna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Geographic terms for the forested hill and stream gorge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Priest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Ochai / Chantai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Purohit / Sevayat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tribal priest vs Brahmin temple officiant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Holy Bath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Twi-Khangmung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Punya Snana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Ritual purification bath performed at Ashokastami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Scarf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Risa (ರೀಸಾ)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Uttariya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Handwoven indigenous chest-wrap and ceremonial stole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UNA-DOC-20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