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26: CLOTHING, TEXTILES &amp; THE GI-TAGGED RISA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Traditional Weaving, Risa Chest-Wrap (GI Tagged), Rignai, Rikutu, and Silver Coin Ornaments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Traditional Indigenous Costumes of Tripura</w:t>
      </w:r>
    </w:p>
    <w:p>
      <w:pPr>
        <w:spacing w:after="100" w:line="276" w:lineRule="auto"/>
      </w:pPr>
      <w:r>
        <w:t>Handloom weaving is an intrinsic cultural skill possessed by indigenous women of Tripura, woven on traditional backstrap/loin looms:</w:t>
      </w:r>
    </w:p>
    <w:p>
      <w:pPr>
        <w:spacing w:after="100" w:line="276" w:lineRule="auto"/>
      </w:pPr>
      <w:r>
        <w:t>• The Risa (GI Tagged): A stunning handwoven female chest-wrap and ceremonial scarf featuring vibrant crimson, white, and yellow geometric diamond motifs, granted Geographical Indication (GI) status in 2024.</w:t>
        <w:br/>
        <w:t>• The Rignai: A handwoven wrap-around lower skirt worn with distinctive regional border motifs.</w:t>
        <w:br/>
        <w:t>• The Rikutu: An elegant upper drape/shawl used for modest covering and festive occasions.</w:t>
        <w:br/>
        <w:t>• Traditional Jewelry: Heavy necklaces crafted from British-era silver rupee coins (Rangbat) and tubular silver earrings (Kanchuk).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UNA-DOC-26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